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0A" w:rsidRPr="00392EA0" w:rsidRDefault="007E110A" w:rsidP="007E110A">
      <w:pPr>
        <w:spacing w:line="560" w:lineRule="exact"/>
        <w:ind w:firstLineChars="183" w:firstLine="588"/>
        <w:rPr>
          <w:rFonts w:ascii="黑体" w:eastAsia="黑体" w:hAnsi="黑体"/>
          <w:b/>
          <w:bCs/>
          <w:sz w:val="32"/>
          <w:szCs w:val="32"/>
        </w:rPr>
      </w:pPr>
      <w:r w:rsidRPr="00392EA0">
        <w:rPr>
          <w:rFonts w:ascii="黑体" w:eastAsia="黑体" w:hAnsi="黑体" w:hint="eastAsia"/>
          <w:b/>
          <w:bCs/>
          <w:sz w:val="32"/>
          <w:szCs w:val="32"/>
        </w:rPr>
        <w:t>五、服务贡献</w:t>
      </w:r>
    </w:p>
    <w:p w:rsidR="007E110A" w:rsidRPr="00A566C4" w:rsidRDefault="007E110A" w:rsidP="007E110A">
      <w:pPr>
        <w:spacing w:line="560" w:lineRule="exact"/>
        <w:ind w:firstLineChars="199" w:firstLine="639"/>
        <w:rPr>
          <w:rFonts w:ascii="楷体" w:eastAsia="楷体" w:hAnsi="楷体"/>
          <w:b/>
          <w:bCs/>
          <w:sz w:val="32"/>
          <w:szCs w:val="32"/>
        </w:rPr>
      </w:pPr>
      <w:r w:rsidRPr="00A566C4">
        <w:rPr>
          <w:rFonts w:ascii="楷体" w:eastAsia="楷体" w:hAnsi="楷体" w:hint="eastAsia"/>
          <w:b/>
          <w:bCs/>
          <w:sz w:val="32"/>
          <w:szCs w:val="32"/>
        </w:rPr>
        <w:t>（</w:t>
      </w:r>
      <w:r>
        <w:rPr>
          <w:rFonts w:ascii="楷体" w:eastAsia="楷体" w:hAnsi="楷体" w:hint="eastAsia"/>
          <w:b/>
          <w:bCs/>
          <w:sz w:val="32"/>
          <w:szCs w:val="32"/>
        </w:rPr>
        <w:t>一）重视</w:t>
      </w:r>
      <w:r w:rsidRPr="00A566C4">
        <w:rPr>
          <w:rFonts w:ascii="楷体" w:eastAsia="楷体" w:hAnsi="楷体" w:hint="eastAsia"/>
          <w:b/>
          <w:bCs/>
          <w:sz w:val="32"/>
          <w:szCs w:val="32"/>
        </w:rPr>
        <w:t>科技，</w:t>
      </w:r>
      <w:r>
        <w:rPr>
          <w:rFonts w:ascii="楷体" w:eastAsia="楷体" w:hAnsi="楷体" w:hint="eastAsia"/>
          <w:b/>
          <w:bCs/>
          <w:sz w:val="32"/>
          <w:szCs w:val="32"/>
        </w:rPr>
        <w:t>提升服务地方能力</w:t>
      </w:r>
    </w:p>
    <w:p w:rsidR="007E110A" w:rsidRDefault="007E110A" w:rsidP="007E110A">
      <w:pPr>
        <w:ind w:firstLineChars="200" w:firstLine="640"/>
        <w:rPr>
          <w:rFonts w:ascii="仿宋_GB2312" w:eastAsia="仿宋_GB2312" w:hAnsi="宋体" w:cs="宋体"/>
          <w:sz w:val="32"/>
          <w:szCs w:val="32"/>
        </w:rPr>
      </w:pPr>
      <w:bookmarkStart w:id="0" w:name="_Toc438197206"/>
      <w:bookmarkStart w:id="1" w:name="_Toc440219238"/>
      <w:r>
        <w:rPr>
          <w:rFonts w:ascii="仿宋_GB2312" w:eastAsia="仿宋_GB2312" w:hAnsi="宋体" w:cs="宋体" w:hint="eastAsia"/>
          <w:sz w:val="32"/>
          <w:szCs w:val="32"/>
        </w:rPr>
        <w:t>学院坚持“教学是强院之本，科研是强院之路，学科是强院之基，人才是强院之源”的科研发展理念，以“扩大科研规模，提高科研总量，提升科研层次，增强科研实力”为导向，精心组织各项科研工作，突出培育服务地方社会发展与产业经济的优势项目，组建科研创新团队，打造对外科技创新合作平台，实现科研工作与地方经济发展高度融合。</w:t>
      </w:r>
    </w:p>
    <w:p w:rsidR="007E110A" w:rsidRDefault="007E110A" w:rsidP="007E110A">
      <w:pPr>
        <w:ind w:firstLineChars="200" w:firstLine="640"/>
        <w:rPr>
          <w:rFonts w:ascii="仿宋_GB2312" w:eastAsia="仿宋_GB2312" w:hAnsi="宋体" w:cs="宋体"/>
          <w:sz w:val="32"/>
          <w:szCs w:val="32"/>
        </w:rPr>
      </w:pPr>
      <w:r w:rsidRPr="003E0D0F">
        <w:rPr>
          <w:rFonts w:ascii="仿宋_GB2312" w:eastAsia="仿宋_GB2312" w:hAnsi="宋体" w:cs="宋体" w:hint="eastAsia"/>
          <w:sz w:val="32"/>
          <w:szCs w:val="32"/>
        </w:rPr>
        <w:t>1.</w:t>
      </w:r>
      <w:r>
        <w:rPr>
          <w:rFonts w:ascii="仿宋_GB2312" w:eastAsia="仿宋_GB2312" w:hAnsi="宋体" w:cs="宋体" w:hint="eastAsia"/>
          <w:sz w:val="32"/>
          <w:szCs w:val="32"/>
        </w:rPr>
        <w:t>巩固服务地方经济文化建设的研究优势。</w:t>
      </w:r>
      <w:r>
        <w:rPr>
          <w:rFonts w:ascii="仿宋_GB2312" w:eastAsia="仿宋_GB2312" w:hAnsi="宋体" w:cs="宋体"/>
          <w:sz w:val="32"/>
          <w:szCs w:val="32"/>
        </w:rPr>
        <w:t>2016</w:t>
      </w:r>
      <w:r>
        <w:rPr>
          <w:rFonts w:ascii="仿宋_GB2312" w:eastAsia="仿宋_GB2312" w:hAnsi="宋体" w:cs="宋体" w:hint="eastAsia"/>
          <w:sz w:val="32"/>
          <w:szCs w:val="32"/>
        </w:rPr>
        <w:t>年获汕头市社科规划项目数达</w:t>
      </w:r>
      <w:r>
        <w:rPr>
          <w:rFonts w:ascii="仿宋_GB2312" w:eastAsia="仿宋_GB2312" w:hAnsi="宋体" w:cs="宋体"/>
          <w:sz w:val="32"/>
          <w:szCs w:val="32"/>
        </w:rPr>
        <w:t>9</w:t>
      </w:r>
      <w:r>
        <w:rPr>
          <w:rFonts w:ascii="仿宋_GB2312" w:eastAsia="仿宋_GB2312" w:hAnsi="宋体" w:cs="宋体" w:hint="eastAsia"/>
          <w:sz w:val="32"/>
          <w:szCs w:val="32"/>
        </w:rPr>
        <w:t>项，其中</w:t>
      </w:r>
      <w:r>
        <w:rPr>
          <w:rFonts w:ascii="仿宋_GB2312" w:eastAsia="仿宋_GB2312" w:hAnsi="宋体" w:cs="宋体"/>
          <w:sz w:val="32"/>
          <w:szCs w:val="32"/>
        </w:rPr>
        <w:t>5</w:t>
      </w:r>
      <w:r>
        <w:rPr>
          <w:rFonts w:ascii="仿宋_GB2312" w:eastAsia="仿宋_GB2312" w:hAnsi="宋体" w:cs="宋体" w:hint="eastAsia"/>
          <w:sz w:val="32"/>
          <w:szCs w:val="32"/>
        </w:rPr>
        <w:t>项课题获得经费资助，在全市立项数和资助项目数的占比分别达到</w:t>
      </w:r>
      <w:r>
        <w:rPr>
          <w:rFonts w:ascii="仿宋_GB2312" w:eastAsia="仿宋_GB2312" w:hAnsi="宋体" w:cs="宋体"/>
          <w:sz w:val="32"/>
          <w:szCs w:val="32"/>
        </w:rPr>
        <w:t>33%</w:t>
      </w:r>
      <w:r>
        <w:rPr>
          <w:rFonts w:ascii="仿宋_GB2312" w:eastAsia="仿宋_GB2312" w:hAnsi="宋体" w:cs="宋体" w:hint="eastAsia"/>
          <w:sz w:val="32"/>
          <w:szCs w:val="32"/>
        </w:rPr>
        <w:t>和</w:t>
      </w:r>
      <w:r>
        <w:rPr>
          <w:rFonts w:ascii="仿宋_GB2312" w:eastAsia="仿宋_GB2312" w:hAnsi="宋体" w:cs="宋体"/>
          <w:sz w:val="32"/>
          <w:szCs w:val="32"/>
        </w:rPr>
        <w:t>38%</w:t>
      </w:r>
      <w:r>
        <w:rPr>
          <w:rFonts w:ascii="仿宋_GB2312" w:eastAsia="仿宋_GB2312" w:hAnsi="宋体" w:cs="宋体" w:hint="eastAsia"/>
          <w:sz w:val="32"/>
          <w:szCs w:val="32"/>
        </w:rPr>
        <w:t>，创下立项与资助比例的历史“双新高”。强化对接产业发展需求的“应用型”研究方向，本学年申报实用新型专利</w:t>
      </w:r>
      <w:r>
        <w:rPr>
          <w:rFonts w:ascii="仿宋_GB2312" w:eastAsia="仿宋_GB2312" w:hAnsi="宋体" w:cs="宋体"/>
          <w:sz w:val="32"/>
          <w:szCs w:val="32"/>
        </w:rPr>
        <w:t>2</w:t>
      </w:r>
      <w:r>
        <w:rPr>
          <w:rFonts w:ascii="仿宋_GB2312" w:eastAsia="仿宋_GB2312" w:hAnsi="宋体" w:cs="宋体" w:hint="eastAsia"/>
          <w:sz w:val="32"/>
          <w:szCs w:val="32"/>
        </w:rPr>
        <w:t>个，“一种太阳能自动追踪装置”和“一种高精度红外触摸式智能云广告机”获得国家专利授权。</w:t>
      </w:r>
      <w:r>
        <w:rPr>
          <w:rFonts w:ascii="仿宋_GB2312" w:eastAsia="仿宋_GB2312" w:hAnsi="宋体" w:cs="宋体"/>
          <w:sz w:val="32"/>
          <w:szCs w:val="32"/>
        </w:rPr>
        <w:t>2016</w:t>
      </w:r>
      <w:r>
        <w:rPr>
          <w:rFonts w:ascii="仿宋_GB2312" w:eastAsia="仿宋_GB2312" w:hAnsi="宋体" w:cs="宋体" w:hint="eastAsia"/>
          <w:sz w:val="32"/>
          <w:szCs w:val="32"/>
        </w:rPr>
        <w:t>年初，学院教学和科研人员申报市科技计划项目获得立项的有</w:t>
      </w:r>
      <w:r>
        <w:rPr>
          <w:rFonts w:ascii="仿宋_GB2312" w:eastAsia="仿宋_GB2312" w:hAnsi="宋体" w:cs="宋体"/>
          <w:sz w:val="32"/>
          <w:szCs w:val="32"/>
        </w:rPr>
        <w:t>3</w:t>
      </w:r>
      <w:r>
        <w:rPr>
          <w:rFonts w:ascii="仿宋_GB2312" w:eastAsia="仿宋_GB2312" w:hAnsi="宋体" w:cs="宋体" w:hint="eastAsia"/>
          <w:sz w:val="32"/>
          <w:szCs w:val="32"/>
        </w:rPr>
        <w:t>项，立项比例高达</w:t>
      </w:r>
      <w:r>
        <w:rPr>
          <w:rFonts w:ascii="仿宋_GB2312" w:eastAsia="仿宋_GB2312" w:hAnsi="宋体" w:cs="宋体"/>
          <w:sz w:val="32"/>
          <w:szCs w:val="32"/>
        </w:rPr>
        <w:t>60%</w:t>
      </w:r>
      <w:r>
        <w:rPr>
          <w:rFonts w:ascii="仿宋_GB2312" w:eastAsia="仿宋_GB2312" w:hAnsi="宋体" w:cs="宋体" w:hint="eastAsia"/>
          <w:sz w:val="32"/>
          <w:szCs w:val="32"/>
        </w:rPr>
        <w:t>，获得资助经费</w:t>
      </w:r>
      <w:r>
        <w:rPr>
          <w:rFonts w:ascii="仿宋_GB2312" w:eastAsia="仿宋_GB2312" w:hAnsi="宋体" w:cs="宋体"/>
          <w:sz w:val="32"/>
          <w:szCs w:val="32"/>
        </w:rPr>
        <w:t>26</w:t>
      </w:r>
      <w:r>
        <w:rPr>
          <w:rFonts w:ascii="仿宋_GB2312" w:eastAsia="仿宋_GB2312" w:hAnsi="宋体" w:cs="宋体" w:hint="eastAsia"/>
          <w:sz w:val="32"/>
          <w:szCs w:val="32"/>
        </w:rPr>
        <w:t>万元。学生的创新能力得到开发，自主承担的科研项目也取得重大突破，截止至</w:t>
      </w:r>
      <w:r>
        <w:rPr>
          <w:rFonts w:ascii="仿宋_GB2312" w:eastAsia="仿宋_GB2312" w:hAnsi="宋体" w:cs="宋体"/>
          <w:sz w:val="32"/>
          <w:szCs w:val="32"/>
        </w:rPr>
        <w:t>2016</w:t>
      </w:r>
      <w:r>
        <w:rPr>
          <w:rFonts w:ascii="仿宋_GB2312" w:eastAsia="仿宋_GB2312" w:hAnsi="宋体" w:cs="宋体" w:hint="eastAsia"/>
          <w:sz w:val="32"/>
          <w:szCs w:val="32"/>
        </w:rPr>
        <w:t>年，学院共有</w:t>
      </w:r>
      <w:r>
        <w:rPr>
          <w:rFonts w:ascii="仿宋_GB2312" w:eastAsia="仿宋_GB2312" w:hAnsi="宋体" w:cs="宋体"/>
          <w:sz w:val="32"/>
          <w:szCs w:val="32"/>
        </w:rPr>
        <w:t>5</w:t>
      </w:r>
      <w:r>
        <w:rPr>
          <w:rFonts w:ascii="仿宋_GB2312" w:eastAsia="仿宋_GB2312" w:hAnsi="宋体" w:cs="宋体" w:hint="eastAsia"/>
          <w:sz w:val="32"/>
          <w:szCs w:val="32"/>
        </w:rPr>
        <w:t>个项目获得“广东大学生科技创新培育专项资金项目”立项，获资助经费共</w:t>
      </w:r>
      <w:r>
        <w:rPr>
          <w:rFonts w:ascii="仿宋_GB2312" w:eastAsia="仿宋_GB2312" w:hAnsi="宋体" w:cs="宋体"/>
          <w:sz w:val="32"/>
          <w:szCs w:val="32"/>
        </w:rPr>
        <w:t>7</w:t>
      </w:r>
      <w:r>
        <w:rPr>
          <w:rFonts w:ascii="仿宋_GB2312" w:eastAsia="仿宋_GB2312" w:hAnsi="宋体" w:cs="宋体" w:hint="eastAsia"/>
          <w:sz w:val="32"/>
          <w:szCs w:val="32"/>
        </w:rPr>
        <w:t>万元。</w:t>
      </w:r>
    </w:p>
    <w:p w:rsidR="007E110A" w:rsidRDefault="007E110A" w:rsidP="007E110A">
      <w:pPr>
        <w:spacing w:line="360" w:lineRule="auto"/>
        <w:ind w:firstLineChars="200" w:firstLine="640"/>
        <w:rPr>
          <w:rFonts w:ascii="仿宋_GB2312" w:eastAsia="仿宋_GB2312" w:hAnsi="宋体" w:cs="宋体"/>
          <w:sz w:val="32"/>
          <w:szCs w:val="32"/>
        </w:rPr>
      </w:pPr>
      <w:r w:rsidRPr="003E0D0F">
        <w:rPr>
          <w:rFonts w:ascii="仿宋_GB2312" w:eastAsia="仿宋_GB2312" w:hAnsi="宋体" w:cs="宋体" w:hint="eastAsia"/>
          <w:sz w:val="32"/>
          <w:szCs w:val="32"/>
        </w:rPr>
        <w:t>2.</w:t>
      </w:r>
      <w:r>
        <w:rPr>
          <w:rFonts w:ascii="仿宋_GB2312" w:eastAsia="仿宋_GB2312" w:hAnsi="宋体" w:cs="宋体" w:hint="eastAsia"/>
          <w:sz w:val="32"/>
          <w:szCs w:val="32"/>
        </w:rPr>
        <w:t>打造科研创新团队。学院紧紧围绕“创新驱动”的战略，创新思路，整合院内教授、博士人才资源组建科研团队，全面</w:t>
      </w:r>
      <w:r>
        <w:rPr>
          <w:rFonts w:ascii="仿宋_GB2312" w:eastAsia="仿宋_GB2312" w:hAnsi="宋体" w:cs="宋体" w:hint="eastAsia"/>
          <w:sz w:val="32"/>
          <w:szCs w:val="32"/>
        </w:rPr>
        <w:lastRenderedPageBreak/>
        <w:t>启动汕头职业技术学院数字化技术研究与应用中心和华侨经济文化研究所等两个研究机构的建设，现正持续加大投入力度，努力将这两个研究机构打造成高标准的市级研究机构。截至</w:t>
      </w:r>
      <w:r>
        <w:rPr>
          <w:rFonts w:ascii="仿宋_GB2312" w:eastAsia="仿宋_GB2312" w:hAnsi="宋体" w:cs="宋体"/>
          <w:sz w:val="32"/>
          <w:szCs w:val="32"/>
        </w:rPr>
        <w:t>2016</w:t>
      </w:r>
      <w:r>
        <w:rPr>
          <w:rFonts w:ascii="仿宋_GB2312" w:eastAsia="仿宋_GB2312" w:hAnsi="宋体" w:cs="宋体" w:hint="eastAsia"/>
          <w:sz w:val="32"/>
          <w:szCs w:val="32"/>
        </w:rPr>
        <w:t>年，学院共建设有</w:t>
      </w:r>
      <w:r>
        <w:rPr>
          <w:rFonts w:ascii="仿宋_GB2312" w:eastAsia="仿宋_GB2312" w:hAnsi="宋体" w:cs="宋体"/>
          <w:sz w:val="32"/>
          <w:szCs w:val="32"/>
        </w:rPr>
        <w:t>4</w:t>
      </w:r>
      <w:r>
        <w:rPr>
          <w:rFonts w:ascii="仿宋_GB2312" w:eastAsia="仿宋_GB2312" w:hAnsi="宋体" w:cs="宋体" w:hint="eastAsia"/>
          <w:sz w:val="32"/>
          <w:szCs w:val="32"/>
        </w:rPr>
        <w:t>个科研机构和创新团队，面向地方产业发展和区域“科教创新中心”建设提供智力支持。</w:t>
      </w:r>
    </w:p>
    <w:p w:rsidR="007E110A" w:rsidRDefault="007E110A" w:rsidP="007E110A">
      <w:pPr>
        <w:spacing w:line="360" w:lineRule="auto"/>
        <w:ind w:firstLineChars="200" w:firstLine="640"/>
        <w:rPr>
          <w:rFonts w:ascii="仿宋_GB2312" w:eastAsia="仿宋_GB2312" w:hAnsi="宋体" w:cs="宋体"/>
          <w:sz w:val="32"/>
          <w:szCs w:val="32"/>
        </w:rPr>
      </w:pPr>
      <w:r w:rsidRPr="003E0D0F">
        <w:rPr>
          <w:rFonts w:ascii="仿宋_GB2312" w:eastAsia="仿宋_GB2312" w:hAnsi="宋体" w:cs="宋体" w:hint="eastAsia"/>
          <w:sz w:val="32"/>
          <w:szCs w:val="32"/>
        </w:rPr>
        <w:t>3.</w:t>
      </w:r>
      <w:r>
        <w:rPr>
          <w:rFonts w:ascii="仿宋_GB2312" w:eastAsia="仿宋_GB2312" w:hAnsi="宋体" w:cs="宋体" w:hint="eastAsia"/>
          <w:sz w:val="32"/>
          <w:szCs w:val="32"/>
        </w:rPr>
        <w:t>搭建科技合作平台。学院着眼于高职院校的地方性特色，致力于打通政府、科技主管部门、高校和科研机构、地方企业行业的贯穿联动关系，积极主动地对接企业行业的科技创新需要。</w:t>
      </w:r>
    </w:p>
    <w:p w:rsidR="007E110A" w:rsidRPr="00392EA0" w:rsidRDefault="007E110A" w:rsidP="007E110A">
      <w:pPr>
        <w:spacing w:line="360" w:lineRule="auto"/>
        <w:ind w:firstLineChars="200" w:firstLine="640"/>
        <w:rPr>
          <w:rFonts w:ascii="楷体" w:eastAsia="楷体" w:hAnsi="楷体" w:cs="宋体"/>
          <w:sz w:val="32"/>
          <w:szCs w:val="32"/>
        </w:rPr>
      </w:pPr>
      <w:r w:rsidRPr="00491B56">
        <w:rPr>
          <w:rFonts w:ascii="黑体" w:eastAsia="黑体" w:hAnsi="黑体" w:hint="eastAsia"/>
          <w:sz w:val="32"/>
          <w:szCs w:val="32"/>
        </w:rPr>
        <w:t>案例1</w:t>
      </w:r>
      <w:r>
        <w:rPr>
          <w:rFonts w:ascii="黑体" w:eastAsia="黑体" w:hAnsi="黑体" w:hint="eastAsia"/>
          <w:sz w:val="32"/>
          <w:szCs w:val="32"/>
        </w:rPr>
        <w:t>7</w:t>
      </w:r>
      <w:r w:rsidRPr="00491B56">
        <w:rPr>
          <w:rFonts w:ascii="黑体" w:eastAsia="黑体" w:hAnsi="黑体" w:hint="eastAsia"/>
          <w:sz w:val="32"/>
          <w:szCs w:val="32"/>
        </w:rPr>
        <w:t>：</w:t>
      </w:r>
      <w:r w:rsidRPr="00392EA0">
        <w:rPr>
          <w:rFonts w:ascii="楷体" w:eastAsia="楷体" w:hAnsi="楷体" w:hint="eastAsia"/>
          <w:sz w:val="32"/>
          <w:szCs w:val="32"/>
        </w:rPr>
        <w:t>学院与汕头市科技局合作致力科技开发服务</w:t>
      </w:r>
    </w:p>
    <w:p w:rsidR="007E110A" w:rsidRDefault="007E110A" w:rsidP="007E110A">
      <w:pPr>
        <w:spacing w:line="600" w:lineRule="exact"/>
        <w:ind w:firstLineChars="200" w:firstLine="640"/>
        <w:rPr>
          <w:rFonts w:ascii="仿宋_GB2312" w:eastAsia="仿宋_GB2312" w:hAnsi="宋体" w:cs="宋体"/>
          <w:sz w:val="32"/>
          <w:szCs w:val="32"/>
        </w:rPr>
      </w:pPr>
      <w:r>
        <w:rPr>
          <w:rFonts w:ascii="仿宋_GB2312" w:eastAsia="仿宋_GB2312" w:hAnsi="宋体" w:cs="宋体"/>
          <w:sz w:val="32"/>
          <w:szCs w:val="32"/>
        </w:rPr>
        <w:t>2015</w:t>
      </w:r>
      <w:r>
        <w:rPr>
          <w:rFonts w:ascii="仿宋_GB2312" w:eastAsia="仿宋_GB2312" w:hAnsi="宋体" w:cs="宋体" w:hint="eastAsia"/>
          <w:sz w:val="32"/>
          <w:szCs w:val="32"/>
        </w:rPr>
        <w:t>年</w:t>
      </w:r>
      <w:r>
        <w:rPr>
          <w:rFonts w:ascii="仿宋_GB2312" w:eastAsia="仿宋_GB2312" w:hAnsi="宋体" w:cs="宋体"/>
          <w:sz w:val="32"/>
          <w:szCs w:val="32"/>
        </w:rPr>
        <w:t>11</w:t>
      </w:r>
      <w:r>
        <w:rPr>
          <w:rFonts w:ascii="仿宋_GB2312" w:eastAsia="仿宋_GB2312" w:hAnsi="宋体" w:cs="宋体" w:hint="eastAsia"/>
          <w:sz w:val="32"/>
          <w:szCs w:val="32"/>
        </w:rPr>
        <w:t>月，学院与汕头市科学技术局签订了《汕头职业技术学院、汕头市科学技术局关于加强科技创新合作的备忘录》，围绕筹建若干个工程技术研究中心、筹建华侨经济文化研究中心、支持“创新强校工程”建设、遴选企业科技特派员、承办或协办汕头创新论坛和粤东地区创新创业大赛、组建协同创新中心等六个方面，推动实施一批重点合作项目。</w:t>
      </w:r>
    </w:p>
    <w:p w:rsidR="007E110A" w:rsidRDefault="007E110A" w:rsidP="007E110A">
      <w:pPr>
        <w:spacing w:line="360" w:lineRule="auto"/>
        <w:ind w:firstLineChars="200" w:firstLine="422"/>
        <w:rPr>
          <w:rFonts w:ascii="仿宋_GB2312" w:eastAsia="仿宋_GB2312" w:hAnsi="宋体" w:cs="宋体"/>
          <w:sz w:val="32"/>
          <w:szCs w:val="32"/>
        </w:rPr>
      </w:pPr>
      <w:r w:rsidRPr="006613F8">
        <w:rPr>
          <w:rFonts w:cs="宋体"/>
          <w:b/>
          <w:bCs/>
          <w:noProof/>
        </w:rPr>
        <w:pict>
          <v:shapetype id="_x0000_t202" coordsize="21600,21600" o:spt="202" path="m,l,21600r21600,l21600,xe">
            <v:stroke joinstyle="miter"/>
            <v:path gradientshapeok="t" o:connecttype="rect"/>
          </v:shapetype>
          <v:shape id="_x0000_s2050" type="#_x0000_t202" style="position:absolute;left:0;text-align:left;margin-left:0;margin-top:13.2pt;width:439.35pt;height:272.4pt;z-index:251660288;mso-wrap-style:none" filled="f" stroked="f">
            <v:textbox style="mso-next-textbox:#_x0000_s2050;mso-fit-shape-to-text:t">
              <w:txbxContent>
                <w:p w:rsidR="007E110A" w:rsidRPr="00AD551F" w:rsidRDefault="007E110A" w:rsidP="007E110A">
                  <w:r>
                    <w:rPr>
                      <w:noProof/>
                    </w:rPr>
                    <w:drawing>
                      <wp:inline distT="0" distB="0" distL="0" distR="0">
                        <wp:extent cx="5743575" cy="3324225"/>
                        <wp:effectExtent l="0" t="0" r="0" b="0"/>
                        <wp:docPr id="1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srcRect/>
                                <a:stretch>
                                  <a:fillRect/>
                                </a:stretch>
                              </pic:blipFill>
                              <pic:spPr bwMode="auto">
                                <a:xfrm>
                                  <a:off x="0" y="0"/>
                                  <a:ext cx="5743575" cy="3324225"/>
                                </a:xfrm>
                                <a:prstGeom prst="rect">
                                  <a:avLst/>
                                </a:prstGeom>
                                <a:noFill/>
                                <a:ln w="9525">
                                  <a:noFill/>
                                  <a:miter lim="800000"/>
                                  <a:headEnd/>
                                  <a:tailEnd/>
                                </a:ln>
                              </pic:spPr>
                            </pic:pic>
                          </a:graphicData>
                        </a:graphic>
                      </wp:inline>
                    </w:drawing>
                  </w:r>
                </w:p>
              </w:txbxContent>
            </v:textbox>
          </v:shape>
        </w:pict>
      </w:r>
    </w:p>
    <w:p w:rsidR="007E110A" w:rsidRDefault="007E110A" w:rsidP="007E110A">
      <w:pPr>
        <w:spacing w:line="360" w:lineRule="auto"/>
        <w:ind w:firstLineChars="200" w:firstLine="640"/>
        <w:rPr>
          <w:rFonts w:ascii="仿宋_GB2312" w:eastAsia="仿宋_GB2312" w:hAnsi="宋体" w:cs="宋体"/>
          <w:sz w:val="32"/>
          <w:szCs w:val="32"/>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p w:rsidR="007E110A" w:rsidRDefault="007E110A" w:rsidP="007E110A">
      <w:pPr>
        <w:spacing w:line="360" w:lineRule="auto"/>
        <w:jc w:val="center"/>
        <w:rPr>
          <w:rFonts w:cs="宋体"/>
          <w:b/>
          <w:bCs/>
        </w:rPr>
      </w:pPr>
    </w:p>
    <w:tbl>
      <w:tblPr>
        <w:tblpPr w:leftFromText="180" w:rightFromText="180" w:vertAnchor="text" w:horzAnchor="margin" w:tblpY="734"/>
        <w:tblOverlap w:val="never"/>
        <w:tblW w:w="8898" w:type="dxa"/>
        <w:tblLayout w:type="fixed"/>
        <w:tblCellMar>
          <w:top w:w="15" w:type="dxa"/>
          <w:left w:w="15" w:type="dxa"/>
          <w:bottom w:w="15" w:type="dxa"/>
          <w:right w:w="15" w:type="dxa"/>
        </w:tblCellMar>
        <w:tblLook w:val="0000"/>
      </w:tblPr>
      <w:tblGrid>
        <w:gridCol w:w="1374"/>
        <w:gridCol w:w="1434"/>
        <w:gridCol w:w="1434"/>
        <w:gridCol w:w="1435"/>
        <w:gridCol w:w="1434"/>
        <w:gridCol w:w="1787"/>
      </w:tblGrid>
      <w:tr w:rsidR="007E110A" w:rsidTr="00C41F72">
        <w:trPr>
          <w:trHeight w:val="617"/>
        </w:trPr>
        <w:tc>
          <w:tcPr>
            <w:tcW w:w="2808" w:type="dxa"/>
            <w:gridSpan w:val="2"/>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纵向科研项目</w:t>
            </w:r>
          </w:p>
        </w:tc>
        <w:tc>
          <w:tcPr>
            <w:tcW w:w="2869" w:type="dxa"/>
            <w:gridSpan w:val="2"/>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横向科研项目</w:t>
            </w:r>
          </w:p>
        </w:tc>
        <w:tc>
          <w:tcPr>
            <w:tcW w:w="3221" w:type="dxa"/>
            <w:gridSpan w:val="2"/>
            <w:tcBorders>
              <w:top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技术开发及专利</w:t>
            </w:r>
          </w:p>
        </w:tc>
      </w:tr>
      <w:tr w:rsidR="007E110A" w:rsidTr="00C41F72">
        <w:trPr>
          <w:trHeight w:val="1032"/>
        </w:trPr>
        <w:tc>
          <w:tcPr>
            <w:tcW w:w="1374"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市级以上</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（项）</w:t>
            </w:r>
          </w:p>
        </w:tc>
        <w:tc>
          <w:tcPr>
            <w:tcW w:w="1434"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经费金额（万元）</w:t>
            </w:r>
          </w:p>
        </w:tc>
        <w:tc>
          <w:tcPr>
            <w:tcW w:w="1434"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市级以上</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（项）</w:t>
            </w:r>
          </w:p>
        </w:tc>
        <w:tc>
          <w:tcPr>
            <w:tcW w:w="1435"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经费金额</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（万元）</w:t>
            </w:r>
          </w:p>
        </w:tc>
        <w:tc>
          <w:tcPr>
            <w:tcW w:w="1434"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市级以上</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（项）</w:t>
            </w:r>
          </w:p>
        </w:tc>
        <w:tc>
          <w:tcPr>
            <w:tcW w:w="1787" w:type="dxa"/>
            <w:tcBorders>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经费金额</w:t>
            </w:r>
            <w:r w:rsidRPr="00534085">
              <w:rPr>
                <w:rFonts w:ascii="仿宋_GB2312" w:eastAsia="仿宋_GB2312" w:hAnsi="宋体" w:cs="宋体"/>
                <w:kern w:val="0"/>
                <w:sz w:val="24"/>
              </w:rPr>
              <w:br/>
            </w:r>
            <w:r w:rsidRPr="00534085">
              <w:rPr>
                <w:rFonts w:ascii="仿宋_GB2312" w:eastAsia="仿宋_GB2312" w:hAnsi="宋体" w:cs="宋体" w:hint="eastAsia"/>
                <w:kern w:val="0"/>
                <w:sz w:val="24"/>
              </w:rPr>
              <w:t>（万元）</w:t>
            </w:r>
          </w:p>
        </w:tc>
      </w:tr>
      <w:tr w:rsidR="007E110A" w:rsidTr="00C41F72">
        <w:trPr>
          <w:trHeight w:val="617"/>
        </w:trPr>
        <w:tc>
          <w:tcPr>
            <w:tcW w:w="1374"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13</w:t>
            </w:r>
          </w:p>
        </w:tc>
        <w:tc>
          <w:tcPr>
            <w:tcW w:w="1434"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5.6</w:t>
            </w:r>
          </w:p>
        </w:tc>
        <w:tc>
          <w:tcPr>
            <w:tcW w:w="1434"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w:t>
            </w:r>
          </w:p>
        </w:tc>
        <w:tc>
          <w:tcPr>
            <w:tcW w:w="1435"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1</w:t>
            </w:r>
          </w:p>
        </w:tc>
        <w:tc>
          <w:tcPr>
            <w:tcW w:w="1434"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5</w:t>
            </w:r>
          </w:p>
        </w:tc>
        <w:tc>
          <w:tcPr>
            <w:tcW w:w="1787" w:type="dxa"/>
            <w:tcBorders>
              <w:top w:val="single" w:sz="4" w:space="0" w:color="000000"/>
              <w:left w:val="single" w:sz="4" w:space="0" w:color="000000"/>
              <w:bottom w:val="single" w:sz="4" w:space="0" w:color="000000"/>
              <w:right w:val="single" w:sz="4" w:space="0" w:color="000000"/>
            </w:tcBorders>
            <w:shd w:val="clear" w:color="auto" w:fill="9BC2E6"/>
            <w:vAlign w:val="center"/>
          </w:tcPr>
          <w:p w:rsidR="007E110A" w:rsidRPr="00534085" w:rsidRDefault="007E110A" w:rsidP="00C41F72">
            <w:pPr>
              <w:widowControl/>
              <w:spacing w:line="280" w:lineRule="exact"/>
              <w:jc w:val="center"/>
              <w:rPr>
                <w:rFonts w:ascii="仿宋_GB2312" w:eastAsia="仿宋_GB2312" w:hAnsi="宋体" w:cs="宋体"/>
                <w:kern w:val="0"/>
                <w:sz w:val="24"/>
              </w:rPr>
            </w:pPr>
            <w:r w:rsidRPr="00534085">
              <w:rPr>
                <w:rFonts w:ascii="仿宋_GB2312" w:eastAsia="仿宋_GB2312" w:hAnsi="宋体" w:cs="宋体" w:hint="eastAsia"/>
                <w:kern w:val="0"/>
                <w:sz w:val="24"/>
              </w:rPr>
              <w:t>7</w:t>
            </w:r>
          </w:p>
        </w:tc>
      </w:tr>
    </w:tbl>
    <w:p w:rsidR="007E110A" w:rsidRPr="004B3BEB" w:rsidRDefault="007E110A" w:rsidP="007E110A">
      <w:pPr>
        <w:spacing w:line="360" w:lineRule="auto"/>
        <w:jc w:val="center"/>
        <w:rPr>
          <w:bCs/>
          <w:sz w:val="32"/>
          <w:szCs w:val="32"/>
        </w:rPr>
      </w:pPr>
      <w:r w:rsidRPr="004B3BEB">
        <w:rPr>
          <w:rFonts w:cs="宋体" w:hint="eastAsia"/>
          <w:bCs/>
          <w:sz w:val="32"/>
          <w:szCs w:val="32"/>
        </w:rPr>
        <w:t>学院</w:t>
      </w:r>
      <w:r w:rsidRPr="004B3BEB">
        <w:rPr>
          <w:bCs/>
          <w:sz w:val="32"/>
          <w:szCs w:val="32"/>
        </w:rPr>
        <w:t>2015-2016</w:t>
      </w:r>
      <w:r w:rsidRPr="004B3BEB">
        <w:rPr>
          <w:rFonts w:cs="宋体" w:hint="eastAsia"/>
          <w:bCs/>
          <w:sz w:val="32"/>
          <w:szCs w:val="32"/>
        </w:rPr>
        <w:t>年度科研成绩一览表</w:t>
      </w:r>
    </w:p>
    <w:p w:rsidR="007E110A" w:rsidRPr="0010426F" w:rsidRDefault="007E110A" w:rsidP="007E110A">
      <w:pPr>
        <w:spacing w:line="560" w:lineRule="exact"/>
        <w:ind w:firstLineChars="199" w:firstLine="639"/>
        <w:rPr>
          <w:rFonts w:ascii="楷体" w:eastAsia="楷体" w:hAnsi="楷体"/>
          <w:b/>
          <w:bCs/>
          <w:sz w:val="32"/>
          <w:szCs w:val="32"/>
        </w:rPr>
      </w:pPr>
      <w:bookmarkStart w:id="2" w:name="_Toc438197220"/>
      <w:bookmarkStart w:id="3" w:name="_Toc440219252"/>
      <w:bookmarkEnd w:id="0"/>
      <w:bookmarkEnd w:id="1"/>
      <w:r w:rsidRPr="0010426F">
        <w:rPr>
          <w:rFonts w:ascii="楷体" w:eastAsia="楷体" w:hAnsi="楷体" w:hint="eastAsia"/>
          <w:b/>
          <w:bCs/>
          <w:sz w:val="32"/>
          <w:szCs w:val="32"/>
        </w:rPr>
        <w:t>（二）发挥优势，积极开拓培训服务</w:t>
      </w:r>
      <w:bookmarkEnd w:id="2"/>
      <w:bookmarkEnd w:id="3"/>
    </w:p>
    <w:p w:rsidR="007E110A" w:rsidRDefault="007E110A" w:rsidP="007E110A">
      <w:pPr>
        <w:spacing w:line="600" w:lineRule="exact"/>
        <w:ind w:firstLineChars="200" w:firstLine="640"/>
        <w:rPr>
          <w:rFonts w:ascii="仿宋_GB2312" w:eastAsia="仿宋_GB2312"/>
          <w:sz w:val="32"/>
          <w:szCs w:val="32"/>
        </w:rPr>
      </w:pPr>
      <w:r>
        <w:rPr>
          <w:rFonts w:ascii="仿宋_GB2312" w:eastAsia="仿宋_GB2312" w:hint="eastAsia"/>
          <w:sz w:val="32"/>
          <w:szCs w:val="32"/>
        </w:rPr>
        <w:t>学院遵循“服务社会、促进教学、促进科研、互惠互利”的原则，积极为地方经济、文化及社会事业发展提供服务。</w:t>
      </w:r>
      <w:bookmarkStart w:id="4" w:name="_Toc438197221"/>
      <w:bookmarkStart w:id="5" w:name="_Toc440219253"/>
      <w:r>
        <w:rPr>
          <w:rFonts w:ascii="仿宋_GB2312" w:eastAsia="仿宋_GB2312" w:hint="eastAsia"/>
          <w:sz w:val="32"/>
          <w:szCs w:val="32"/>
        </w:rPr>
        <w:t>本学年，学院成教部承担了学院专业技术人员专业科目和选修科目的培训任务,参加培训人数649人；开展“金平区体育教师校园足球专项培训” 763人。</w:t>
      </w:r>
    </w:p>
    <w:p w:rsidR="007E110A" w:rsidRDefault="007E110A" w:rsidP="007E110A">
      <w:pPr>
        <w:spacing w:line="600" w:lineRule="exact"/>
        <w:ind w:firstLineChars="200" w:firstLine="640"/>
        <w:rPr>
          <w:rFonts w:ascii="仿宋_GB2312" w:eastAsia="仿宋_GB2312"/>
          <w:sz w:val="32"/>
          <w:szCs w:val="32"/>
        </w:rPr>
      </w:pPr>
      <w:r>
        <w:rPr>
          <w:rFonts w:ascii="仿宋_GB2312" w:eastAsia="仿宋_GB2312" w:hint="eastAsia"/>
          <w:sz w:val="32"/>
          <w:szCs w:val="32"/>
        </w:rPr>
        <w:t>学院现代教育技术中心承办汕头市中小学教师信息技术应用提升工程项目培训共5249人，培训得到广大教师的认可和上级部门的肯定，总结出被全省各地培训主讲教师称为“汕头模式”的培训教学实施方法，成为培训教学创新和教学改革的成果。</w:t>
      </w:r>
    </w:p>
    <w:p w:rsidR="007E110A" w:rsidRPr="0010426F" w:rsidRDefault="007E110A" w:rsidP="007E110A">
      <w:pPr>
        <w:spacing w:line="360" w:lineRule="auto"/>
        <w:jc w:val="center"/>
        <w:rPr>
          <w:rFonts w:ascii="宋体" w:cs="宋体"/>
          <w:sz w:val="28"/>
          <w:szCs w:val="28"/>
        </w:rPr>
      </w:pPr>
      <w:r w:rsidRPr="0010426F">
        <w:rPr>
          <w:rFonts w:ascii="宋体" w:hAnsi="宋体" w:cs="宋体" w:hint="eastAsia"/>
          <w:sz w:val="28"/>
          <w:szCs w:val="28"/>
        </w:rPr>
        <w:t>2015-2016学年提升工程项目培训情况</w:t>
      </w:r>
    </w:p>
    <w:tbl>
      <w:tblPr>
        <w:tblW w:w="0" w:type="auto"/>
        <w:jc w:val="center"/>
        <w:tblInd w:w="154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00"/>
      </w:tblPr>
      <w:tblGrid>
        <w:gridCol w:w="5281"/>
        <w:gridCol w:w="1754"/>
      </w:tblGrid>
      <w:tr w:rsidR="007E110A" w:rsidTr="00C41F72">
        <w:trPr>
          <w:trHeight w:val="503"/>
          <w:jc w:val="center"/>
        </w:trPr>
        <w:tc>
          <w:tcPr>
            <w:tcW w:w="5281" w:type="dxa"/>
            <w:tcBorders>
              <w:top w:val="single" w:sz="8" w:space="0" w:color="4BACC6"/>
              <w:left w:val="single" w:sz="8" w:space="0" w:color="4BACC6"/>
              <w:bottom w:val="single" w:sz="18" w:space="0" w:color="4BACC6"/>
              <w:right w:val="single" w:sz="8" w:space="0" w:color="4BACC6"/>
            </w:tcBorders>
            <w:vAlign w:val="center"/>
          </w:tcPr>
          <w:p w:rsidR="007E110A" w:rsidRDefault="007E110A" w:rsidP="00C41F72">
            <w:pPr>
              <w:widowControl/>
              <w:jc w:val="center"/>
              <w:rPr>
                <w:rFonts w:ascii="宋体" w:cs="宋体"/>
                <w:b/>
                <w:bCs/>
                <w:color w:val="000000"/>
                <w:kern w:val="0"/>
                <w:sz w:val="22"/>
              </w:rPr>
            </w:pPr>
            <w:r>
              <w:rPr>
                <w:rFonts w:ascii="宋体" w:hAnsi="宋体" w:cs="宋体" w:hint="eastAsia"/>
                <w:b/>
                <w:bCs/>
                <w:color w:val="000000"/>
                <w:kern w:val="0"/>
                <w:sz w:val="22"/>
              </w:rPr>
              <w:lastRenderedPageBreak/>
              <w:t>培训课程</w:t>
            </w:r>
          </w:p>
        </w:tc>
        <w:tc>
          <w:tcPr>
            <w:tcW w:w="1754" w:type="dxa"/>
            <w:tcBorders>
              <w:top w:val="single" w:sz="8" w:space="0" w:color="4BACC6"/>
              <w:left w:val="single" w:sz="8" w:space="0" w:color="4BACC6"/>
              <w:bottom w:val="single" w:sz="18" w:space="0" w:color="4BACC6"/>
              <w:right w:val="single" w:sz="8" w:space="0" w:color="4BACC6"/>
            </w:tcBorders>
            <w:vAlign w:val="center"/>
          </w:tcPr>
          <w:p w:rsidR="007E110A" w:rsidRDefault="007E110A" w:rsidP="00C41F72">
            <w:pPr>
              <w:widowControl/>
              <w:jc w:val="center"/>
              <w:rPr>
                <w:rFonts w:ascii="宋体" w:cs="宋体"/>
                <w:b/>
                <w:bCs/>
                <w:color w:val="000000"/>
                <w:kern w:val="0"/>
                <w:sz w:val="22"/>
              </w:rPr>
            </w:pPr>
            <w:r>
              <w:rPr>
                <w:rFonts w:ascii="宋体" w:hAnsi="宋体" w:cs="宋体" w:hint="eastAsia"/>
                <w:b/>
                <w:bCs/>
                <w:color w:val="000000"/>
                <w:kern w:val="0"/>
                <w:sz w:val="22"/>
              </w:rPr>
              <w:t>人数</w:t>
            </w:r>
          </w:p>
        </w:tc>
      </w:tr>
      <w:tr w:rsidR="007E110A" w:rsidTr="00C41F72">
        <w:trPr>
          <w:trHeight w:val="503"/>
          <w:jc w:val="center"/>
        </w:trPr>
        <w:tc>
          <w:tcPr>
            <w:tcW w:w="5281"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21世纪课堂评价</w:t>
            </w:r>
          </w:p>
        </w:tc>
        <w:tc>
          <w:tcPr>
            <w:tcW w:w="1754"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3220</w:t>
            </w:r>
          </w:p>
        </w:tc>
      </w:tr>
      <w:tr w:rsidR="007E110A" w:rsidTr="00C41F72">
        <w:trPr>
          <w:trHeight w:val="503"/>
          <w:jc w:val="center"/>
        </w:trPr>
        <w:tc>
          <w:tcPr>
            <w:tcW w:w="5281" w:type="dxa"/>
            <w:tcBorders>
              <w:top w:val="single" w:sz="8" w:space="0" w:color="4BACC6"/>
              <w:left w:val="single" w:sz="8" w:space="0" w:color="4BACC6"/>
              <w:bottom w:val="single" w:sz="8" w:space="0" w:color="4BACC6"/>
              <w:right w:val="single" w:sz="8" w:space="0" w:color="4BACC6"/>
            </w:tcBorders>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基于数据的批判性思维</w:t>
            </w:r>
          </w:p>
        </w:tc>
        <w:tc>
          <w:tcPr>
            <w:tcW w:w="1754" w:type="dxa"/>
            <w:tcBorders>
              <w:top w:val="single" w:sz="8" w:space="0" w:color="4BACC6"/>
              <w:left w:val="single" w:sz="8" w:space="0" w:color="4BACC6"/>
              <w:bottom w:val="single" w:sz="8" w:space="0" w:color="4BACC6"/>
              <w:right w:val="single" w:sz="8" w:space="0" w:color="4BACC6"/>
            </w:tcBorders>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4</w:t>
            </w:r>
          </w:p>
        </w:tc>
      </w:tr>
      <w:tr w:rsidR="007E110A" w:rsidTr="00C41F72">
        <w:trPr>
          <w:trHeight w:val="503"/>
          <w:jc w:val="center"/>
        </w:trPr>
        <w:tc>
          <w:tcPr>
            <w:tcW w:w="5281"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乐高“技术教育创新人才培养计划”项目学科教师</w:t>
            </w:r>
          </w:p>
        </w:tc>
        <w:tc>
          <w:tcPr>
            <w:tcW w:w="1754"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1025</w:t>
            </w:r>
          </w:p>
        </w:tc>
      </w:tr>
      <w:tr w:rsidR="007E110A" w:rsidTr="00C41F72">
        <w:trPr>
          <w:trHeight w:val="503"/>
          <w:jc w:val="center"/>
        </w:trPr>
        <w:tc>
          <w:tcPr>
            <w:tcW w:w="5281" w:type="dxa"/>
            <w:tcBorders>
              <w:top w:val="single" w:sz="8" w:space="0" w:color="4BACC6"/>
              <w:left w:val="single" w:sz="8" w:space="0" w:color="4BACC6"/>
              <w:bottom w:val="single" w:sz="8" w:space="0" w:color="4BACC6"/>
              <w:right w:val="single" w:sz="8" w:space="0" w:color="4BACC6"/>
            </w:tcBorders>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信息化课堂中的合作学习</w:t>
            </w:r>
          </w:p>
        </w:tc>
        <w:tc>
          <w:tcPr>
            <w:tcW w:w="1754" w:type="dxa"/>
            <w:tcBorders>
              <w:top w:val="single" w:sz="8" w:space="0" w:color="4BACC6"/>
              <w:left w:val="single" w:sz="8" w:space="0" w:color="4BACC6"/>
              <w:bottom w:val="single" w:sz="8" w:space="0" w:color="4BACC6"/>
              <w:right w:val="single" w:sz="8" w:space="0" w:color="4BACC6"/>
            </w:tcBorders>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1000</w:t>
            </w:r>
          </w:p>
        </w:tc>
      </w:tr>
      <w:tr w:rsidR="007E110A" w:rsidTr="00C41F72">
        <w:trPr>
          <w:trHeight w:val="503"/>
          <w:jc w:val="center"/>
        </w:trPr>
        <w:tc>
          <w:tcPr>
            <w:tcW w:w="5281"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总计</w:t>
            </w:r>
          </w:p>
        </w:tc>
        <w:tc>
          <w:tcPr>
            <w:tcW w:w="1754" w:type="dxa"/>
            <w:tcBorders>
              <w:top w:val="single" w:sz="8" w:space="0" w:color="4BACC6"/>
              <w:left w:val="single" w:sz="8" w:space="0" w:color="4BACC6"/>
              <w:bottom w:val="single" w:sz="8" w:space="0" w:color="4BACC6"/>
              <w:right w:val="single" w:sz="8" w:space="0" w:color="4BACC6"/>
            </w:tcBorders>
            <w:shd w:val="clear" w:color="auto" w:fill="D2EAF1"/>
            <w:vAlign w:val="center"/>
          </w:tcPr>
          <w:p w:rsidR="007E110A" w:rsidRPr="00534085" w:rsidRDefault="007E110A" w:rsidP="00C41F72">
            <w:pPr>
              <w:widowControl/>
              <w:spacing w:line="320" w:lineRule="exact"/>
              <w:jc w:val="center"/>
              <w:rPr>
                <w:rFonts w:ascii="仿宋" w:eastAsia="仿宋" w:hAnsi="仿宋" w:cs="宋体"/>
                <w:kern w:val="0"/>
                <w:sz w:val="28"/>
                <w:szCs w:val="28"/>
              </w:rPr>
            </w:pPr>
            <w:r w:rsidRPr="00534085">
              <w:rPr>
                <w:rFonts w:ascii="仿宋" w:eastAsia="仿宋" w:hAnsi="仿宋" w:cs="宋体" w:hint="eastAsia"/>
                <w:kern w:val="0"/>
                <w:sz w:val="28"/>
                <w:szCs w:val="28"/>
              </w:rPr>
              <w:t>5249</w:t>
            </w:r>
          </w:p>
        </w:tc>
      </w:tr>
    </w:tbl>
    <w:bookmarkEnd w:id="4"/>
    <w:bookmarkEnd w:id="5"/>
    <w:p w:rsidR="007E110A" w:rsidRPr="0010426F" w:rsidRDefault="007E110A" w:rsidP="007E110A">
      <w:pPr>
        <w:spacing w:line="560" w:lineRule="exact"/>
        <w:ind w:firstLineChars="199" w:firstLine="639"/>
        <w:rPr>
          <w:rFonts w:ascii="楷体" w:eastAsia="楷体" w:hAnsi="楷体"/>
          <w:b/>
          <w:bCs/>
          <w:sz w:val="32"/>
          <w:szCs w:val="32"/>
        </w:rPr>
      </w:pPr>
      <w:r w:rsidRPr="0010426F">
        <w:rPr>
          <w:rFonts w:ascii="楷体" w:eastAsia="楷体" w:hAnsi="楷体" w:hint="eastAsia"/>
          <w:b/>
          <w:bCs/>
          <w:sz w:val="32"/>
          <w:szCs w:val="32"/>
        </w:rPr>
        <w:t>（三）</w:t>
      </w:r>
      <w:r>
        <w:rPr>
          <w:rFonts w:ascii="楷体" w:eastAsia="楷体" w:hAnsi="楷体" w:hint="eastAsia"/>
          <w:b/>
          <w:bCs/>
          <w:sz w:val="32"/>
          <w:szCs w:val="32"/>
        </w:rPr>
        <w:t>互利共赢，服务</w:t>
      </w:r>
      <w:r w:rsidRPr="0010426F">
        <w:rPr>
          <w:rFonts w:ascii="楷体" w:eastAsia="楷体" w:hAnsi="楷体" w:hint="eastAsia"/>
          <w:b/>
          <w:bCs/>
          <w:sz w:val="32"/>
          <w:szCs w:val="32"/>
        </w:rPr>
        <w:t>地方微小企业</w:t>
      </w:r>
    </w:p>
    <w:p w:rsidR="007E110A" w:rsidRDefault="007E110A" w:rsidP="007E110A">
      <w:pPr>
        <w:spacing w:line="600" w:lineRule="exact"/>
        <w:ind w:firstLineChars="200" w:firstLine="640"/>
        <w:rPr>
          <w:rFonts w:ascii="仿宋_GB2312" w:eastAsia="仿宋_GB2312"/>
          <w:sz w:val="32"/>
          <w:szCs w:val="32"/>
        </w:rPr>
      </w:pPr>
      <w:r>
        <w:rPr>
          <w:rFonts w:ascii="仿宋_GB2312" w:eastAsia="仿宋_GB2312" w:hint="eastAsia"/>
          <w:sz w:val="32"/>
          <w:szCs w:val="32"/>
        </w:rPr>
        <w:t>学院紧密依托行业协会和企业，利用自身专业优势，积极与地方微小企业开展合作，提供培训和技术支持，先后与澄海艺丰进出口贸易有限公司、汕头市大树玩具有限公司、汕头市英群染整有限公司、汕头市佳友织业有限公司、汕头市正协达商贸有限公司、汕头市富菲服饰有限公司、澄海国际玩具礼品博览会等7个单位合作建立技术合作关系。</w:t>
      </w:r>
    </w:p>
    <w:p w:rsidR="007E110A" w:rsidRDefault="007E110A" w:rsidP="007E110A">
      <w:pPr>
        <w:spacing w:line="560" w:lineRule="exact"/>
        <w:ind w:firstLineChars="199" w:firstLine="639"/>
        <w:rPr>
          <w:rFonts w:ascii="楷体" w:eastAsia="楷体" w:hAnsi="楷体"/>
          <w:b/>
          <w:bCs/>
          <w:sz w:val="32"/>
          <w:szCs w:val="32"/>
        </w:rPr>
      </w:pPr>
      <w:r w:rsidRPr="006F62E6">
        <w:rPr>
          <w:rFonts w:ascii="楷体" w:eastAsia="楷体" w:hAnsi="楷体" w:hint="eastAsia"/>
          <w:b/>
          <w:bCs/>
          <w:sz w:val="32"/>
          <w:szCs w:val="32"/>
        </w:rPr>
        <w:t>（四）</w:t>
      </w:r>
      <w:r>
        <w:rPr>
          <w:rFonts w:ascii="楷体" w:eastAsia="楷体" w:hAnsi="楷体" w:hint="eastAsia"/>
          <w:b/>
          <w:bCs/>
          <w:sz w:val="32"/>
          <w:szCs w:val="32"/>
        </w:rPr>
        <w:t>承办活动，主动服务地方发展</w:t>
      </w:r>
    </w:p>
    <w:p w:rsidR="007E110A" w:rsidRDefault="007E110A" w:rsidP="007E110A">
      <w:pPr>
        <w:spacing w:line="600" w:lineRule="exact"/>
        <w:ind w:firstLineChars="200" w:firstLine="640"/>
        <w:rPr>
          <w:rFonts w:ascii="仿宋_GB2312" w:eastAsia="仿宋_GB2312"/>
          <w:sz w:val="32"/>
          <w:szCs w:val="32"/>
        </w:rPr>
      </w:pPr>
      <w:r w:rsidRPr="006F62E6">
        <w:rPr>
          <w:rFonts w:ascii="仿宋_GB2312" w:eastAsia="仿宋_GB2312" w:hint="eastAsia"/>
          <w:sz w:val="32"/>
          <w:szCs w:val="32"/>
        </w:rPr>
        <w:t>本学年度，学院发挥自身在文化教育及技术等方面的优势，立足汕头市社会经济发展需要，主动作为，通过多场承办由共青团广东省委员会主办的“互联网+”青年创业大赛粤东赛区创业培训分享会、海丝水韵——国际水彩名家绘汕头”采风创研系列活动等大型活动，展现自身的风采，扩大影响，服务于地方发展。</w:t>
      </w:r>
    </w:p>
    <w:p w:rsidR="007E110A" w:rsidRDefault="007E110A" w:rsidP="007E110A">
      <w:pPr>
        <w:spacing w:line="600" w:lineRule="exact"/>
        <w:ind w:firstLineChars="200" w:firstLine="640"/>
        <w:rPr>
          <w:rFonts w:ascii="仿宋_GB2312" w:eastAsia="仿宋_GB2312"/>
          <w:sz w:val="32"/>
          <w:szCs w:val="32"/>
        </w:rPr>
      </w:pPr>
      <w:r w:rsidRPr="00491B56">
        <w:rPr>
          <w:rFonts w:ascii="黑体" w:eastAsia="黑体" w:hAnsi="黑体" w:hint="eastAsia"/>
          <w:sz w:val="32"/>
          <w:szCs w:val="32"/>
        </w:rPr>
        <w:t>案例1</w:t>
      </w:r>
      <w:r>
        <w:rPr>
          <w:rFonts w:ascii="黑体" w:eastAsia="黑体" w:hAnsi="黑体" w:hint="eastAsia"/>
          <w:sz w:val="32"/>
          <w:szCs w:val="32"/>
        </w:rPr>
        <w:t>8</w:t>
      </w:r>
      <w:r w:rsidRPr="00491B56">
        <w:rPr>
          <w:rFonts w:ascii="黑体" w:eastAsia="黑体" w:hAnsi="黑体" w:hint="eastAsia"/>
          <w:sz w:val="32"/>
          <w:szCs w:val="32"/>
        </w:rPr>
        <w:t>：</w:t>
      </w:r>
      <w:r w:rsidRPr="006F62E6">
        <w:rPr>
          <w:rFonts w:ascii="楷体" w:eastAsia="楷体" w:hAnsi="楷体" w:hint="eastAsia"/>
          <w:sz w:val="32"/>
          <w:szCs w:val="32"/>
        </w:rPr>
        <w:t>承办“海丝水韵——国际水彩名家绘汕头”采风创研系列活动</w:t>
      </w:r>
      <w:r w:rsidRPr="006F62E6">
        <w:rPr>
          <w:rFonts w:ascii="楷体" w:eastAsia="楷体" w:hAnsi="楷体" w:hint="eastAsia"/>
          <w:sz w:val="32"/>
          <w:szCs w:val="32"/>
        </w:rPr>
        <w:cr/>
      </w:r>
      <w:r>
        <w:rPr>
          <w:rFonts w:ascii="楷体" w:eastAsia="楷体" w:hAnsi="楷体" w:hint="eastAsia"/>
          <w:sz w:val="32"/>
          <w:szCs w:val="32"/>
        </w:rPr>
        <w:lastRenderedPageBreak/>
        <w:t xml:space="preserve">   </w:t>
      </w:r>
      <w:r w:rsidRPr="006F62E6">
        <w:rPr>
          <w:rFonts w:ascii="仿宋_GB2312" w:eastAsia="仿宋_GB2312" w:hint="eastAsia"/>
          <w:sz w:val="32"/>
          <w:szCs w:val="32"/>
        </w:rPr>
        <w:t xml:space="preserve"> 2015年11月，学院承办由中共汕头市委宣传部策划，广东省美术家协会、汕头市人民对外友好协会主办“海丝水韵——国际水彩名家绘汕头”采风创研系列活动。有来自世界70多个国家和地区的艺术家汇聚一堂。</w:t>
      </w:r>
      <w:r>
        <w:rPr>
          <w:rFonts w:ascii="仿宋_GB2312" w:eastAsia="仿宋_GB2312" w:hint="eastAsia"/>
          <w:sz w:val="32"/>
          <w:szCs w:val="32"/>
        </w:rPr>
        <w:t>活动成功举办，展现了我院良好的策划和管理水平，受到各界的好评。</w:t>
      </w:r>
    </w:p>
    <w:p w:rsidR="007E110A" w:rsidRDefault="007E110A" w:rsidP="007E110A">
      <w:pPr>
        <w:spacing w:line="600" w:lineRule="exact"/>
        <w:ind w:firstLineChars="200" w:firstLine="640"/>
        <w:rPr>
          <w:rFonts w:ascii="仿宋_GB2312" w:eastAsia="仿宋_GB2312"/>
          <w:sz w:val="32"/>
          <w:szCs w:val="32"/>
        </w:rPr>
      </w:pPr>
    </w:p>
    <w:p w:rsidR="007E110A" w:rsidRDefault="007E110A" w:rsidP="007E110A">
      <w:pPr>
        <w:spacing w:line="600" w:lineRule="exact"/>
        <w:ind w:firstLineChars="200" w:firstLine="640"/>
        <w:rPr>
          <w:rFonts w:ascii="仿宋_GB2312" w:eastAsia="仿宋_GB2312"/>
          <w:sz w:val="32"/>
          <w:szCs w:val="32"/>
        </w:rPr>
      </w:pPr>
    </w:p>
    <w:p w:rsidR="007E110A" w:rsidRDefault="007E110A" w:rsidP="007E110A">
      <w:pPr>
        <w:spacing w:line="600" w:lineRule="exact"/>
        <w:ind w:firstLineChars="200" w:firstLine="640"/>
        <w:rPr>
          <w:rFonts w:ascii="仿宋_GB2312" w:eastAsia="仿宋_GB2312"/>
          <w:sz w:val="32"/>
          <w:szCs w:val="32"/>
        </w:rPr>
      </w:pPr>
      <w:r>
        <w:rPr>
          <w:rFonts w:ascii="仿宋_GB2312" w:eastAsia="仿宋_GB2312"/>
          <w:noProof/>
          <w:sz w:val="32"/>
          <w:szCs w:val="32"/>
        </w:rPr>
        <w:pict>
          <v:shape id="_x0000_s2051" type="#_x0000_t202" style="position:absolute;left:0;text-align:left;margin-left:0;margin-top:7.95pt;width:367.65pt;height:226.35pt;z-index:251661312;mso-wrap-style:none;mso-position-horizontal:center">
            <v:textbox style="mso-next-textbox:#_x0000_s2051;mso-fit-shape-to-text:t">
              <w:txbxContent>
                <w:p w:rsidR="007E110A" w:rsidRDefault="007E110A" w:rsidP="007E110A">
                  <w:r>
                    <w:rPr>
                      <w:noProof/>
                    </w:rPr>
                    <w:drawing>
                      <wp:inline distT="0" distB="0" distL="0" distR="0">
                        <wp:extent cx="4476750" cy="2676525"/>
                        <wp:effectExtent l="19050" t="0" r="0" b="0"/>
                        <wp:docPr id="1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a:stretch>
                                  <a:fillRect/>
                                </a:stretch>
                              </pic:blipFill>
                              <pic:spPr bwMode="auto">
                                <a:xfrm>
                                  <a:off x="0" y="0"/>
                                  <a:ext cx="4476750" cy="2676525"/>
                                </a:xfrm>
                                <a:prstGeom prst="rect">
                                  <a:avLst/>
                                </a:prstGeom>
                                <a:noFill/>
                                <a:ln w="9525">
                                  <a:noFill/>
                                  <a:miter lim="800000"/>
                                  <a:headEnd/>
                                  <a:tailEnd/>
                                </a:ln>
                              </pic:spPr>
                            </pic:pic>
                          </a:graphicData>
                        </a:graphic>
                      </wp:inline>
                    </w:drawing>
                  </w:r>
                </w:p>
              </w:txbxContent>
            </v:textbox>
          </v:shape>
        </w:pict>
      </w:r>
    </w:p>
    <w:p w:rsidR="007E110A" w:rsidRDefault="007E110A" w:rsidP="007E110A">
      <w:pPr>
        <w:spacing w:line="600" w:lineRule="exact"/>
        <w:ind w:firstLineChars="200" w:firstLine="640"/>
        <w:rPr>
          <w:rFonts w:ascii="仿宋_GB2312" w:eastAsia="仿宋_GB2312"/>
          <w:sz w:val="32"/>
          <w:szCs w:val="32"/>
        </w:rPr>
      </w:pPr>
    </w:p>
    <w:p w:rsidR="007E110A" w:rsidRPr="006F62E6" w:rsidRDefault="007E110A" w:rsidP="007E110A">
      <w:pPr>
        <w:spacing w:line="600" w:lineRule="exact"/>
        <w:ind w:firstLineChars="200" w:firstLine="640"/>
        <w:rPr>
          <w:rFonts w:ascii="仿宋_GB2312" w:eastAsia="仿宋_GB2312"/>
          <w:sz w:val="32"/>
          <w:szCs w:val="32"/>
        </w:rPr>
      </w:pPr>
    </w:p>
    <w:p w:rsidR="007E110A" w:rsidRPr="006F62E6" w:rsidRDefault="007E110A" w:rsidP="007E110A">
      <w:pPr>
        <w:spacing w:line="600" w:lineRule="exact"/>
        <w:ind w:firstLineChars="200" w:firstLine="640"/>
        <w:rPr>
          <w:rFonts w:ascii="仿宋_GB2312" w:eastAsia="仿宋_GB2312"/>
          <w:sz w:val="32"/>
          <w:szCs w:val="32"/>
        </w:rPr>
      </w:pPr>
    </w:p>
    <w:p w:rsidR="007E110A" w:rsidRDefault="007E110A" w:rsidP="007E110A">
      <w:pPr>
        <w:spacing w:line="560" w:lineRule="exact"/>
        <w:ind w:firstLineChars="183" w:firstLine="588"/>
        <w:rPr>
          <w:rFonts w:ascii="黑体" w:eastAsia="黑体" w:hAnsi="黑体"/>
          <w:b/>
          <w:bCs/>
          <w:sz w:val="32"/>
          <w:szCs w:val="32"/>
        </w:rPr>
      </w:pPr>
    </w:p>
    <w:p w:rsidR="007E110A" w:rsidRDefault="007E110A" w:rsidP="007E110A">
      <w:pPr>
        <w:spacing w:line="560" w:lineRule="exact"/>
        <w:ind w:firstLineChars="183" w:firstLine="588"/>
        <w:rPr>
          <w:rFonts w:ascii="黑体" w:eastAsia="黑体" w:hAnsi="黑体"/>
          <w:b/>
          <w:bCs/>
          <w:sz w:val="32"/>
          <w:szCs w:val="32"/>
        </w:rPr>
      </w:pPr>
    </w:p>
    <w:p w:rsidR="007E110A" w:rsidRDefault="007E110A" w:rsidP="007E110A">
      <w:pPr>
        <w:spacing w:line="560" w:lineRule="exact"/>
        <w:ind w:firstLineChars="183" w:firstLine="588"/>
        <w:rPr>
          <w:rFonts w:ascii="黑体" w:eastAsia="黑体" w:hAnsi="黑体"/>
          <w:b/>
          <w:bCs/>
          <w:sz w:val="32"/>
          <w:szCs w:val="32"/>
        </w:rPr>
      </w:pPr>
    </w:p>
    <w:p w:rsidR="007E110A" w:rsidRDefault="007E110A" w:rsidP="007E110A">
      <w:pPr>
        <w:spacing w:line="560" w:lineRule="exact"/>
        <w:ind w:firstLineChars="183" w:firstLine="588"/>
        <w:rPr>
          <w:rFonts w:ascii="黑体" w:eastAsia="黑体" w:hAnsi="黑体"/>
          <w:b/>
          <w:bCs/>
          <w:sz w:val="32"/>
          <w:szCs w:val="32"/>
        </w:rPr>
      </w:pPr>
    </w:p>
    <w:p w:rsidR="00494C12" w:rsidRPr="007E110A" w:rsidRDefault="00494C12"/>
    <w:sectPr w:rsidR="00494C12" w:rsidRPr="007E110A" w:rsidSect="007E110A">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C12" w:rsidRPr="0039102B" w:rsidRDefault="00494C12" w:rsidP="007E110A">
      <w:pPr>
        <w:rPr>
          <w:szCs w:val="20"/>
        </w:rPr>
      </w:pPr>
      <w:r>
        <w:separator/>
      </w:r>
    </w:p>
  </w:endnote>
  <w:endnote w:type="continuationSeparator" w:id="1">
    <w:p w:rsidR="00494C12" w:rsidRPr="0039102B" w:rsidRDefault="00494C12" w:rsidP="007E110A">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C12" w:rsidRPr="0039102B" w:rsidRDefault="00494C12" w:rsidP="007E110A">
      <w:pPr>
        <w:rPr>
          <w:szCs w:val="20"/>
        </w:rPr>
      </w:pPr>
      <w:r>
        <w:separator/>
      </w:r>
    </w:p>
  </w:footnote>
  <w:footnote w:type="continuationSeparator" w:id="1">
    <w:p w:rsidR="00494C12" w:rsidRPr="0039102B" w:rsidRDefault="00494C12" w:rsidP="007E110A">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110A"/>
    <w:rsid w:val="00494C12"/>
    <w:rsid w:val="007E11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10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110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E110A"/>
    <w:rPr>
      <w:sz w:val="18"/>
      <w:szCs w:val="18"/>
    </w:rPr>
  </w:style>
  <w:style w:type="paragraph" w:styleId="a4">
    <w:name w:val="footer"/>
    <w:basedOn w:val="a"/>
    <w:link w:val="Char0"/>
    <w:uiPriority w:val="99"/>
    <w:semiHidden/>
    <w:unhideWhenUsed/>
    <w:rsid w:val="007E110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E110A"/>
    <w:rPr>
      <w:sz w:val="18"/>
      <w:szCs w:val="18"/>
    </w:rPr>
  </w:style>
  <w:style w:type="paragraph" w:styleId="a5">
    <w:name w:val="Balloon Text"/>
    <w:basedOn w:val="a"/>
    <w:link w:val="Char1"/>
    <w:uiPriority w:val="99"/>
    <w:semiHidden/>
    <w:unhideWhenUsed/>
    <w:rsid w:val="007E110A"/>
    <w:rPr>
      <w:sz w:val="18"/>
      <w:szCs w:val="18"/>
    </w:rPr>
  </w:style>
  <w:style w:type="character" w:customStyle="1" w:styleId="Char1">
    <w:name w:val="批注框文本 Char"/>
    <w:basedOn w:val="a0"/>
    <w:link w:val="a5"/>
    <w:uiPriority w:val="99"/>
    <w:semiHidden/>
    <w:rsid w:val="007E110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2017-01-08T08:13:00Z</dcterms:created>
  <dcterms:modified xsi:type="dcterms:W3CDTF">2017-01-08T08:13:00Z</dcterms:modified>
</cp:coreProperties>
</file>