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1378" w:rsidRDefault="00C54868">
      <w:pPr>
        <w:spacing w:before="0" w:after="0" w:line="300" w:lineRule="auto"/>
        <w:rPr>
          <w:rFonts w:ascii="宋体" w:eastAsia="宋体" w:hAnsi="宋体" w:cs="宋体"/>
          <w:b/>
          <w:color w:val="000000"/>
          <w:sz w:val="36"/>
        </w:rPr>
      </w:pPr>
      <w:r>
        <w:rPr>
          <w:rFonts w:ascii="宋体" w:eastAsia="宋体" w:hAnsi="宋体" w:cs="宋体" w:hint="eastAsia"/>
          <w:b/>
          <w:color w:val="000000"/>
          <w:sz w:val="36"/>
        </w:rPr>
        <w:t>附件：</w:t>
      </w:r>
    </w:p>
    <w:p w:rsidR="00781378" w:rsidRDefault="00C54868">
      <w:pPr>
        <w:spacing w:before="0" w:after="0" w:line="300" w:lineRule="auto"/>
        <w:jc w:val="center"/>
        <w:rPr>
          <w:rFonts w:ascii="宋体" w:eastAsia="宋体" w:hAnsi="宋体" w:cs="宋体"/>
          <w:b/>
          <w:color w:val="000000"/>
          <w:sz w:val="36"/>
        </w:rPr>
      </w:pPr>
      <w:r>
        <w:rPr>
          <w:rFonts w:ascii="宋体" w:eastAsia="宋体" w:hAnsi="宋体" w:cs="宋体"/>
          <w:b/>
          <w:color w:val="000000"/>
          <w:sz w:val="36"/>
        </w:rPr>
        <w:t>汕头职业技术学院自然科学系</w:t>
      </w:r>
      <w:r>
        <w:rPr>
          <w:rFonts w:ascii="宋体" w:eastAsia="宋体" w:hAnsi="宋体" w:cs="宋体" w:hint="eastAsia"/>
          <w:b/>
          <w:color w:val="000000"/>
          <w:sz w:val="36"/>
        </w:rPr>
        <w:t>实验室</w:t>
      </w:r>
      <w:r>
        <w:rPr>
          <w:rFonts w:ascii="宋体" w:eastAsia="宋体" w:hAnsi="宋体" w:cs="宋体"/>
          <w:b/>
          <w:color w:val="000000"/>
          <w:sz w:val="36"/>
        </w:rPr>
        <w:t>食品</w:t>
      </w:r>
      <w:r>
        <w:rPr>
          <w:rFonts w:ascii="宋体" w:eastAsia="宋体" w:hAnsi="宋体" w:cs="宋体" w:hint="eastAsia"/>
          <w:b/>
          <w:color w:val="000000"/>
          <w:sz w:val="36"/>
        </w:rPr>
        <w:t>检验</w:t>
      </w:r>
      <w:r>
        <w:rPr>
          <w:rFonts w:ascii="宋体" w:eastAsia="宋体" w:hAnsi="宋体" w:cs="宋体"/>
          <w:b/>
          <w:color w:val="000000"/>
          <w:sz w:val="36"/>
        </w:rPr>
        <w:t>检测技术专业仪器</w:t>
      </w:r>
      <w:r>
        <w:rPr>
          <w:rFonts w:ascii="宋体" w:eastAsia="宋体" w:hAnsi="宋体" w:cs="宋体" w:hint="eastAsia"/>
          <w:b/>
          <w:color w:val="000000"/>
          <w:sz w:val="36"/>
        </w:rPr>
        <w:t>设备</w:t>
      </w:r>
    </w:p>
    <w:p w:rsidR="00781378" w:rsidRDefault="00C54868">
      <w:pPr>
        <w:spacing w:before="0" w:after="0" w:line="300" w:lineRule="auto"/>
        <w:jc w:val="center"/>
        <w:rPr>
          <w:rFonts w:ascii="宋体" w:eastAsia="宋体" w:hAnsi="宋体" w:cs="宋体"/>
          <w:b/>
          <w:color w:val="000000"/>
          <w:spacing w:val="-3"/>
          <w:sz w:val="24"/>
        </w:rPr>
      </w:pPr>
      <w:r>
        <w:rPr>
          <w:rFonts w:ascii="宋体" w:eastAsia="宋体" w:hAnsi="宋体" w:cs="宋体"/>
          <w:b/>
          <w:color w:val="000000"/>
          <w:sz w:val="36"/>
        </w:rPr>
        <w:t>采购</w:t>
      </w:r>
      <w:r>
        <w:rPr>
          <w:rFonts w:ascii="宋体" w:eastAsia="宋体" w:hAnsi="宋体" w:cs="宋体" w:hint="eastAsia"/>
          <w:b/>
          <w:color w:val="000000"/>
          <w:sz w:val="36"/>
        </w:rPr>
        <w:t>清单</w:t>
      </w:r>
    </w:p>
    <w:tbl>
      <w:tblPr>
        <w:tblStyle w:val="a4"/>
        <w:tblpPr w:leftFromText="180" w:rightFromText="180" w:vertAnchor="text" w:horzAnchor="page" w:tblpXSpec="center" w:tblpY="501"/>
        <w:tblOverlap w:val="never"/>
        <w:tblW w:w="14309" w:type="dxa"/>
        <w:tblLayout w:type="fixed"/>
        <w:tblLook w:val="04A0" w:firstRow="1" w:lastRow="0" w:firstColumn="1" w:lastColumn="0" w:noHBand="0" w:noVBand="1"/>
      </w:tblPr>
      <w:tblGrid>
        <w:gridCol w:w="796"/>
        <w:gridCol w:w="1181"/>
        <w:gridCol w:w="8363"/>
        <w:gridCol w:w="709"/>
        <w:gridCol w:w="1134"/>
        <w:gridCol w:w="2126"/>
      </w:tblGrid>
      <w:tr w:rsidR="00356FD7" w:rsidTr="00356FD7">
        <w:trPr>
          <w:trHeight w:val="90"/>
        </w:trPr>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jc w:val="center"/>
              <w:rPr>
                <w:rFonts w:ascii="宋体" w:eastAsia="宋体" w:hAnsi="宋体" w:cs="宋体"/>
                <w:color w:val="000000"/>
                <w:sz w:val="20"/>
              </w:rPr>
            </w:pPr>
            <w:r>
              <w:rPr>
                <w:rFonts w:ascii="宋体" w:eastAsia="宋体" w:hAnsi="宋体" w:cs="宋体" w:hint="eastAsia"/>
                <w:color w:val="000000"/>
                <w:sz w:val="20"/>
              </w:rPr>
              <w:t>序号</w:t>
            </w:r>
          </w:p>
        </w:tc>
        <w:tc>
          <w:tcPr>
            <w:tcW w:w="1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jc w:val="center"/>
            </w:pPr>
            <w:r>
              <w:rPr>
                <w:rFonts w:ascii="宋体" w:eastAsia="宋体" w:hAnsi="宋体" w:cs="宋体"/>
                <w:color w:val="000000"/>
                <w:sz w:val="20"/>
              </w:rPr>
              <w:t>物品名称</w:t>
            </w:r>
          </w:p>
        </w:tc>
        <w:tc>
          <w:tcPr>
            <w:tcW w:w="83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jc w:val="center"/>
            </w:pPr>
            <w:r>
              <w:rPr>
                <w:rFonts w:ascii="宋体" w:eastAsia="宋体" w:hAnsi="宋体" w:cs="宋体"/>
                <w:color w:val="000000"/>
                <w:sz w:val="20"/>
              </w:rPr>
              <w:t>需求或主要技术参数</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jc w:val="center"/>
              <w:rPr>
                <w:rFonts w:ascii="宋体" w:eastAsia="宋体" w:hAnsi="宋体" w:cs="宋体"/>
                <w:color w:val="000000"/>
                <w:sz w:val="20"/>
              </w:rPr>
            </w:pPr>
            <w:r>
              <w:rPr>
                <w:rFonts w:ascii="宋体" w:eastAsia="宋体" w:hAnsi="宋体" w:cs="宋体"/>
                <w:color w:val="000000"/>
                <w:sz w:val="20"/>
              </w:rPr>
              <w:t>单位</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jc w:val="center"/>
            </w:pPr>
            <w:r>
              <w:rPr>
                <w:rFonts w:ascii="宋体" w:eastAsia="宋体" w:hAnsi="宋体" w:cs="宋体"/>
                <w:color w:val="000000"/>
                <w:sz w:val="20"/>
              </w:rPr>
              <w:t>采购数量</w:t>
            </w:r>
          </w:p>
        </w:tc>
        <w:tc>
          <w:tcPr>
            <w:tcW w:w="2126" w:type="dxa"/>
            <w:tcBorders>
              <w:top w:val="single" w:sz="6" w:space="0" w:color="000000"/>
              <w:left w:val="single" w:sz="6" w:space="0" w:color="000000"/>
              <w:bottom w:val="single" w:sz="6" w:space="0" w:color="000000"/>
              <w:right w:val="single" w:sz="6" w:space="0" w:color="000000"/>
            </w:tcBorders>
          </w:tcPr>
          <w:p w:rsidR="00356FD7" w:rsidRDefault="00356FD7">
            <w:pPr>
              <w:spacing w:before="0" w:after="0"/>
              <w:jc w:val="center"/>
              <w:rPr>
                <w:rFonts w:ascii="宋体" w:eastAsia="宋体" w:hAnsi="宋体" w:cs="宋体"/>
                <w:color w:val="000000"/>
                <w:sz w:val="20"/>
              </w:rPr>
            </w:pPr>
            <w:r>
              <w:rPr>
                <w:rFonts w:ascii="宋体" w:eastAsia="宋体" w:hAnsi="宋体" w:cs="宋体" w:hint="eastAsia"/>
                <w:color w:val="000000"/>
                <w:sz w:val="20"/>
              </w:rPr>
              <w:t>预算单价/元</w:t>
            </w:r>
          </w:p>
          <w:p w:rsidR="00356FD7" w:rsidRDefault="00356FD7">
            <w:pPr>
              <w:spacing w:before="0" w:after="0"/>
              <w:jc w:val="center"/>
              <w:rPr>
                <w:rFonts w:ascii="宋体" w:eastAsia="宋体" w:hAnsi="宋体" w:cs="宋体"/>
                <w:color w:val="000000"/>
                <w:sz w:val="20"/>
              </w:rPr>
            </w:pPr>
            <w:r>
              <w:rPr>
                <w:rFonts w:ascii="宋体" w:eastAsia="宋体" w:hAnsi="宋体" w:cs="宋体"/>
                <w:color w:val="000000"/>
                <w:sz w:val="20"/>
              </w:rPr>
              <w:t>（</w:t>
            </w:r>
            <w:r>
              <w:rPr>
                <w:rFonts w:ascii="宋体" w:eastAsia="宋体" w:hAnsi="宋体" w:cs="宋体" w:hint="eastAsia"/>
                <w:color w:val="000000"/>
                <w:sz w:val="20"/>
              </w:rPr>
              <w:t>超过</w:t>
            </w:r>
            <w:r>
              <w:rPr>
                <w:rFonts w:ascii="宋体" w:eastAsia="宋体" w:hAnsi="宋体" w:cs="宋体"/>
                <w:color w:val="000000"/>
                <w:sz w:val="20"/>
              </w:rPr>
              <w:t>该报价无效）</w:t>
            </w:r>
          </w:p>
        </w:tc>
      </w:tr>
      <w:tr w:rsidR="00356FD7" w:rsidTr="00356FD7">
        <w:trPr>
          <w:trHeight w:val="1265"/>
        </w:trPr>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jc w:val="center"/>
              <w:rPr>
                <w:rFonts w:ascii="宋体" w:eastAsia="宋体" w:hAnsi="宋体" w:cs="宋体"/>
                <w:color w:val="000000"/>
                <w:sz w:val="21"/>
              </w:rPr>
            </w:pPr>
            <w:r>
              <w:rPr>
                <w:rFonts w:ascii="宋体" w:eastAsia="宋体" w:hAnsi="宋体" w:cs="宋体" w:hint="eastAsia"/>
                <w:color w:val="000000"/>
                <w:sz w:val="21"/>
              </w:rPr>
              <w:t>1</w:t>
            </w:r>
          </w:p>
        </w:tc>
        <w:tc>
          <w:tcPr>
            <w:tcW w:w="1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jc w:val="center"/>
            </w:pPr>
            <w:r>
              <w:rPr>
                <w:rFonts w:ascii="宋体" w:eastAsia="宋体" w:hAnsi="宋体" w:cs="宋体"/>
                <w:color w:val="000000"/>
                <w:sz w:val="21"/>
              </w:rPr>
              <w:t>食品安全综合检测仪</w:t>
            </w:r>
          </w:p>
        </w:tc>
        <w:tc>
          <w:tcPr>
            <w:tcW w:w="8363"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主机参数：包括分光光度模块、胶体金检测模块、新型农残卡检测模块、数字化管理模块、无线通讯模块等。可现场检测食品中兽药残留、农药残留、非法添加物、生物毒素指标。</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1. 触摸屏操作，显示界面：≥12.1英寸电容式触摸屏，五点触控，分辨率≥1024×768</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2. 存储：≥16GB存储，并支持扩展MicroSD（TF）卡</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3. 输入方式：触摸屏，也可外接通用鼠标、键盘。</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4. 打印功能：内置热敏打印机</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5. 样品检测模块：仪器可自动识别放入待测液的检测通道，只需一键即可进行检测，检测完毕后只显示或打印放有样品液的通道结果。</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6. 不同检测模块不同检测项目或相同检测模块不同检测项目可同时检测。</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7. 仪器支持当前位置定位，并在检测时将位置，检测地点保存在检测记录，方便查询追溯检测地点。</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分光光度模块:</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1、 每个通道均配置410、536、595、620nm波长光源，光路切换功能可实现最多64波长，并且所有检测项目均可实现16通道同时检测。</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4、比色池：≥16通道</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5、透射比示值误差：≤±0.5 %</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6、透射比重复性：≤±0.3%</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7、稳定性：≤±0.005</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8、通道间差异：≤0.006（</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胶体金模块:</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1、光源：LED光源；</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lastRenderedPageBreak/>
              <w:t>2、探测方式：拍照式；</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3、探测器：CMOS传感器；</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4、通道数：≥2通道；</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 xml:space="preserve">5、胶体金模块检测方式：轨道式自动进卡，实时显示检测结果图像并保存图谱图像，自动智能扫描分析，检测完成后自动退出卡条，自动识别C、T线位置 </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农残卡检测模块:</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1) 通道数≥20通道，每个检测通道光源独立，相互不产生干扰，可单个通道测试，也可以多通道同时测试；</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2) 检测精度：&lt;2%；</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3) 通道间差：&lt;0.5%；</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4) 重复性：&lt;0.1%；</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5）仪器检测仓易拆易清洗，提供配套可自行替换的检测仓。</w:t>
            </w:r>
          </w:p>
          <w:p w:rsidR="00356FD7" w:rsidRDefault="00356FD7">
            <w:pPr>
              <w:spacing w:before="0" w:after="0" w:line="240" w:lineRule="auto"/>
            </w:pPr>
            <w:r>
              <w:rPr>
                <w:rFonts w:ascii="宋体" w:eastAsia="宋体" w:hAnsi="宋体" w:cs="宋体" w:hint="eastAsia"/>
                <w:color w:val="000000"/>
                <w:sz w:val="21"/>
                <w:shd w:val="clear" w:color="auto" w:fill="FCFCFC"/>
              </w:rPr>
              <w:t>6）仪器配套的新型农残卡，检测过程中只需加一次缓冲液。</w:t>
            </w:r>
          </w:p>
        </w:tc>
        <w:tc>
          <w:tcPr>
            <w:tcW w:w="709"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jc w:val="center"/>
              <w:rPr>
                <w:rFonts w:ascii="宋体" w:eastAsia="宋体" w:hAnsi="宋体" w:cs="宋体"/>
                <w:color w:val="000000"/>
                <w:sz w:val="20"/>
              </w:rPr>
            </w:pPr>
            <w:r>
              <w:rPr>
                <w:rFonts w:ascii="宋体" w:eastAsia="宋体" w:hAnsi="宋体" w:cs="宋体"/>
                <w:color w:val="000000"/>
                <w:sz w:val="21"/>
              </w:rPr>
              <w:lastRenderedPageBreak/>
              <w:t>台</w:t>
            </w:r>
          </w:p>
        </w:tc>
        <w:tc>
          <w:tcPr>
            <w:tcW w:w="1134"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jc w:val="center"/>
            </w:pPr>
            <w:r>
              <w:rPr>
                <w:rFonts w:ascii="宋体" w:eastAsia="宋体" w:hAnsi="宋体" w:cs="宋体" w:hint="eastAsia"/>
                <w:color w:val="000000"/>
                <w:sz w:val="20"/>
              </w:rPr>
              <w:t>1</w:t>
            </w:r>
          </w:p>
        </w:tc>
        <w:tc>
          <w:tcPr>
            <w:tcW w:w="2126" w:type="dxa"/>
            <w:tcBorders>
              <w:top w:val="single" w:sz="6" w:space="0" w:color="CBCDD1"/>
              <w:left w:val="single" w:sz="6" w:space="0" w:color="000000"/>
              <w:bottom w:val="single" w:sz="6" w:space="0" w:color="000000"/>
              <w:right w:val="single" w:sz="6" w:space="0" w:color="000000"/>
            </w:tcBorders>
            <w:vAlign w:val="center"/>
          </w:tcPr>
          <w:p w:rsidR="00356FD7" w:rsidRDefault="00356FD7" w:rsidP="00980CFB">
            <w:pPr>
              <w:spacing w:before="0" w:after="0"/>
              <w:jc w:val="center"/>
              <w:rPr>
                <w:rFonts w:ascii="宋体" w:eastAsia="宋体" w:hAnsi="宋体" w:cs="宋体"/>
                <w:color w:val="000000"/>
                <w:sz w:val="20"/>
              </w:rPr>
            </w:pPr>
            <w:r>
              <w:rPr>
                <w:rFonts w:ascii="宋体" w:eastAsia="宋体" w:hAnsi="宋体" w:cs="宋体" w:hint="eastAsia"/>
                <w:color w:val="000000"/>
                <w:sz w:val="20"/>
              </w:rPr>
              <w:t>2500</w:t>
            </w:r>
            <w:r>
              <w:rPr>
                <w:rFonts w:ascii="宋体" w:eastAsia="宋体" w:hAnsi="宋体" w:cs="宋体"/>
                <w:color w:val="000000"/>
                <w:sz w:val="20"/>
              </w:rPr>
              <w:t>0</w:t>
            </w:r>
          </w:p>
        </w:tc>
      </w:tr>
      <w:tr w:rsidR="00356FD7" w:rsidTr="00356FD7">
        <w:trPr>
          <w:trHeight w:val="435"/>
        </w:trPr>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jc w:val="center"/>
            </w:pPr>
            <w:r>
              <w:rPr>
                <w:rFonts w:hint="eastAsia"/>
              </w:rPr>
              <w:lastRenderedPageBreak/>
              <w:t>2</w:t>
            </w:r>
          </w:p>
        </w:tc>
        <w:tc>
          <w:tcPr>
            <w:tcW w:w="1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rsidP="00980CFB">
            <w:pPr>
              <w:spacing w:before="0" w:after="0"/>
            </w:pPr>
            <w:r>
              <w:rPr>
                <w:rFonts w:ascii="'Times New Roman'" w:eastAsia="'Times New Roman'" w:hAnsi="'Times New Roman'" w:cs="'Times New Roman'"/>
                <w:color w:val="000000"/>
                <w:sz w:val="21"/>
              </w:rPr>
              <w:t> </w:t>
            </w:r>
            <w:r>
              <w:rPr>
                <w:rFonts w:ascii="宋体" w:eastAsia="宋体" w:hAnsi="宋体" w:cs="宋体" w:hint="eastAsia"/>
                <w:color w:val="000000"/>
                <w:sz w:val="21"/>
              </w:rPr>
              <w:t>氮吹浓缩仪</w:t>
            </w:r>
          </w:p>
        </w:tc>
        <w:tc>
          <w:tcPr>
            <w:tcW w:w="8363"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数字控温器，双数字显示，调节采用PID技术并可实现超温报警。</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处理样品数 12个</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加热方式 水浴</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标配加热块数 试管架一个</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试管孔径 15mm</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控温精度 ±1℃</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控温范围 室温-100℃</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氮气消耗量 330ml/min样品（可调节）</w:t>
            </w:r>
          </w:p>
          <w:p w:rsidR="00356FD7" w:rsidRDefault="00356FD7">
            <w:pPr>
              <w:spacing w:before="0" w:after="0" w:line="240" w:lineRule="auto"/>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气体流量计 0-15L/min</w:t>
            </w:r>
          </w:p>
          <w:p w:rsidR="00356FD7" w:rsidRDefault="00356FD7">
            <w:pPr>
              <w:spacing w:before="0" w:after="0" w:line="240" w:lineRule="auto"/>
            </w:pPr>
            <w:r>
              <w:rPr>
                <w:rFonts w:ascii="宋体" w:eastAsia="宋体" w:hAnsi="宋体" w:cs="宋体" w:hint="eastAsia"/>
                <w:color w:val="000000"/>
                <w:sz w:val="21"/>
                <w:shd w:val="clear" w:color="auto" w:fill="FCFCFC"/>
              </w:rPr>
              <w:t>外形尺寸 340*200*460</w:t>
            </w:r>
          </w:p>
        </w:tc>
        <w:tc>
          <w:tcPr>
            <w:tcW w:w="709"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jc w:val="center"/>
              <w:rPr>
                <w:rFonts w:ascii="宋体" w:eastAsia="宋体" w:hAnsi="宋体" w:cs="宋体"/>
                <w:color w:val="000000"/>
                <w:sz w:val="20"/>
              </w:rPr>
            </w:pPr>
            <w:r>
              <w:rPr>
                <w:rFonts w:ascii="宋体" w:eastAsia="宋体" w:hAnsi="宋体" w:cs="宋体"/>
                <w:color w:val="000000"/>
                <w:sz w:val="20"/>
              </w:rPr>
              <w:t>台</w:t>
            </w:r>
          </w:p>
        </w:tc>
        <w:tc>
          <w:tcPr>
            <w:tcW w:w="1134"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jc w:val="center"/>
            </w:pPr>
            <w:r>
              <w:rPr>
                <w:rFonts w:ascii="宋体" w:eastAsia="宋体" w:hAnsi="宋体" w:cs="宋体" w:hint="eastAsia"/>
                <w:color w:val="000000"/>
                <w:sz w:val="20"/>
              </w:rPr>
              <w:t>1</w:t>
            </w:r>
          </w:p>
        </w:tc>
        <w:tc>
          <w:tcPr>
            <w:tcW w:w="2126" w:type="dxa"/>
            <w:tcBorders>
              <w:top w:val="single" w:sz="6" w:space="0" w:color="CBCDD1"/>
              <w:left w:val="single" w:sz="6" w:space="0" w:color="000000"/>
              <w:bottom w:val="single" w:sz="6" w:space="0" w:color="000000"/>
              <w:right w:val="single" w:sz="6" w:space="0" w:color="000000"/>
            </w:tcBorders>
            <w:vAlign w:val="center"/>
          </w:tcPr>
          <w:p w:rsidR="00356FD7" w:rsidRDefault="00356FD7" w:rsidP="00980CFB">
            <w:pPr>
              <w:spacing w:before="0" w:after="0"/>
              <w:jc w:val="center"/>
              <w:rPr>
                <w:rFonts w:ascii="宋体" w:eastAsia="宋体" w:hAnsi="宋体" w:cs="宋体"/>
                <w:color w:val="000000"/>
                <w:sz w:val="20"/>
              </w:rPr>
            </w:pPr>
            <w:r>
              <w:rPr>
                <w:rFonts w:ascii="宋体" w:eastAsia="宋体" w:hAnsi="宋体" w:cs="宋体" w:hint="eastAsia"/>
                <w:color w:val="000000"/>
                <w:sz w:val="20"/>
              </w:rPr>
              <w:t>2500</w:t>
            </w:r>
          </w:p>
        </w:tc>
      </w:tr>
      <w:tr w:rsidR="00356FD7" w:rsidTr="00356FD7">
        <w:trPr>
          <w:trHeight w:val="2548"/>
        </w:trPr>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rsidP="00980CFB">
            <w:pPr>
              <w:spacing w:before="0" w:after="0"/>
              <w:jc w:val="center"/>
              <w:rPr>
                <w:rFonts w:ascii="宋体" w:eastAsia="宋体" w:hAnsi="宋体" w:cs="宋体"/>
                <w:color w:val="000000"/>
                <w:sz w:val="21"/>
              </w:rPr>
            </w:pPr>
            <w:r>
              <w:rPr>
                <w:rFonts w:ascii="宋体" w:eastAsia="宋体" w:hAnsi="宋体" w:cs="宋体" w:hint="eastAsia"/>
                <w:color w:val="000000"/>
                <w:sz w:val="21"/>
              </w:rPr>
              <w:t>3</w:t>
            </w:r>
          </w:p>
        </w:tc>
        <w:tc>
          <w:tcPr>
            <w:tcW w:w="1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pPr>
            <w:r>
              <w:rPr>
                <w:rFonts w:ascii="宋体" w:eastAsia="宋体" w:hAnsi="宋体" w:cs="宋体" w:hint="eastAsia"/>
                <w:color w:val="000000"/>
                <w:sz w:val="21"/>
              </w:rPr>
              <w:t>旋转蒸发仪</w:t>
            </w:r>
          </w:p>
        </w:tc>
        <w:tc>
          <w:tcPr>
            <w:tcW w:w="8363"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冷却器：立式，夹层有加冰容器，附加料管</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升降：手轮丝肛升降0-150毫米</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主机：交流电机</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温度：自动控制室温-99度，数字显示</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加热锅：不锈钢特氟隆复合锅 功率：830W</w:t>
            </w:r>
          </w:p>
          <w:p w:rsidR="00356FD7" w:rsidRDefault="00356FD7">
            <w:pPr>
              <w:spacing w:before="0" w:after="0"/>
            </w:pPr>
            <w:r>
              <w:rPr>
                <w:rFonts w:ascii="宋体" w:eastAsia="宋体" w:hAnsi="宋体" w:cs="宋体" w:hint="eastAsia"/>
                <w:color w:val="000000"/>
                <w:sz w:val="21"/>
                <w:shd w:val="clear" w:color="auto" w:fill="FCFCFC"/>
              </w:rPr>
              <w:t>含循环水真空泵：流量:60L/min双表双头.单头抽气10L/min 功率:180W</w:t>
            </w:r>
          </w:p>
        </w:tc>
        <w:tc>
          <w:tcPr>
            <w:tcW w:w="709"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jc w:val="center"/>
              <w:rPr>
                <w:rFonts w:ascii="宋体" w:eastAsia="宋体" w:hAnsi="宋体" w:cs="宋体"/>
                <w:color w:val="000000"/>
                <w:sz w:val="20"/>
              </w:rPr>
            </w:pPr>
            <w:r>
              <w:rPr>
                <w:rFonts w:ascii="宋体" w:eastAsia="宋体" w:hAnsi="宋体" w:cs="宋体"/>
                <w:color w:val="000000"/>
                <w:sz w:val="21"/>
              </w:rPr>
              <w:t>台</w:t>
            </w:r>
          </w:p>
        </w:tc>
        <w:tc>
          <w:tcPr>
            <w:tcW w:w="1134"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jc w:val="center"/>
            </w:pPr>
            <w:r>
              <w:rPr>
                <w:rFonts w:ascii="宋体" w:eastAsia="宋体" w:hAnsi="宋体" w:cs="宋体" w:hint="eastAsia"/>
                <w:color w:val="000000"/>
                <w:sz w:val="20"/>
              </w:rPr>
              <w:t>1</w:t>
            </w:r>
          </w:p>
        </w:tc>
        <w:tc>
          <w:tcPr>
            <w:tcW w:w="2126" w:type="dxa"/>
            <w:tcBorders>
              <w:top w:val="single" w:sz="6" w:space="0" w:color="CBCDD1"/>
              <w:left w:val="single" w:sz="6" w:space="0" w:color="000000"/>
              <w:bottom w:val="single" w:sz="6" w:space="0" w:color="000000"/>
              <w:right w:val="single" w:sz="6" w:space="0" w:color="000000"/>
            </w:tcBorders>
            <w:vAlign w:val="center"/>
          </w:tcPr>
          <w:p w:rsidR="00356FD7" w:rsidRDefault="00356FD7" w:rsidP="00980CFB">
            <w:pPr>
              <w:spacing w:before="0" w:after="0"/>
              <w:jc w:val="center"/>
              <w:rPr>
                <w:rFonts w:ascii="宋体" w:eastAsia="宋体" w:hAnsi="宋体" w:cs="宋体"/>
                <w:color w:val="000000"/>
                <w:sz w:val="20"/>
              </w:rPr>
            </w:pPr>
            <w:r>
              <w:rPr>
                <w:rFonts w:ascii="宋体" w:eastAsia="宋体" w:hAnsi="宋体" w:cs="宋体" w:hint="eastAsia"/>
                <w:color w:val="000000"/>
                <w:sz w:val="20"/>
              </w:rPr>
              <w:t>4</w:t>
            </w:r>
            <w:r>
              <w:rPr>
                <w:rFonts w:ascii="宋体" w:eastAsia="宋体" w:hAnsi="宋体" w:cs="宋体"/>
                <w:color w:val="000000"/>
                <w:sz w:val="20"/>
              </w:rPr>
              <w:t>500</w:t>
            </w:r>
          </w:p>
        </w:tc>
      </w:tr>
      <w:tr w:rsidR="00356FD7" w:rsidTr="00356FD7">
        <w:trPr>
          <w:trHeight w:val="3869"/>
        </w:trPr>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rsidP="00980CFB">
            <w:pPr>
              <w:spacing w:before="0" w:after="0"/>
              <w:jc w:val="center"/>
              <w:rPr>
                <w:rFonts w:ascii="宋体" w:eastAsia="宋体" w:hAnsi="宋体" w:cs="宋体"/>
                <w:color w:val="000000"/>
                <w:sz w:val="21"/>
              </w:rPr>
            </w:pPr>
            <w:r>
              <w:rPr>
                <w:rFonts w:ascii="宋体" w:eastAsia="宋体" w:hAnsi="宋体" w:cs="宋体" w:hint="eastAsia"/>
                <w:color w:val="000000"/>
                <w:sz w:val="21"/>
              </w:rPr>
              <w:lastRenderedPageBreak/>
              <w:t>4</w:t>
            </w:r>
          </w:p>
        </w:tc>
        <w:tc>
          <w:tcPr>
            <w:tcW w:w="1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rsidP="00980CFB">
            <w:pPr>
              <w:spacing w:before="0" w:after="0"/>
              <w:jc w:val="center"/>
            </w:pPr>
            <w:r>
              <w:rPr>
                <w:rFonts w:ascii="宋体" w:eastAsia="宋体" w:hAnsi="宋体" w:cs="宋体" w:hint="eastAsia"/>
                <w:color w:val="000000"/>
                <w:sz w:val="21"/>
              </w:rPr>
              <w:t>马弗炉</w:t>
            </w:r>
          </w:p>
        </w:tc>
        <w:tc>
          <w:tcPr>
            <w:tcW w:w="8363"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tcPr>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采用微电脑PID数显控制器，控温精准，具备定值运行和定时运行功能；</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不锈钢内门衬板设计，相比传统衬板更易清洁，不易烤裂或变色；</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炉膛和炉门采用一次成型耐火砖材料，表面处理平整，无脱落；</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炉膛与外壳之间的保温层采用陶瓷纤维散棉加膨胀珍珠，</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炉门及炉膛外壁采用全腔外壁通风设计，使用高温时外壳可控制在40℃</w:t>
            </w:r>
            <w:bookmarkStart w:id="0" w:name="_GoBack"/>
            <w:bookmarkEnd w:id="0"/>
            <w:r>
              <w:rPr>
                <w:rFonts w:ascii="宋体" w:eastAsia="宋体" w:hAnsi="宋体" w:cs="宋体" w:hint="eastAsia"/>
                <w:color w:val="000000"/>
                <w:sz w:val="21"/>
                <w:shd w:val="clear" w:color="auto" w:fill="FCFCFC"/>
              </w:rPr>
              <w:t>以内；</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设有过流、过压、过热、漏电、短路、开门断电等多种安全保护措施，保证使用安全；</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技术参数：</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 xml:space="preserve">工作室尺寸（长×宽×高）200×300×120(mm) </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 xml:space="preserve">外形尺寸（长×宽×高）570×670×720(mm) </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 xml:space="preserve">容积 7.2(L) 电压  220(V) 功率 4(kW) </w:t>
            </w:r>
          </w:p>
          <w:p w:rsidR="00356FD7" w:rsidRDefault="00356FD7">
            <w:pPr>
              <w:spacing w:before="0" w:after="0"/>
            </w:pPr>
            <w:r>
              <w:rPr>
                <w:rFonts w:ascii="宋体" w:eastAsia="宋体" w:hAnsi="宋体" w:cs="宋体" w:hint="eastAsia"/>
                <w:color w:val="000000"/>
                <w:sz w:val="21"/>
                <w:shd w:val="clear" w:color="auto" w:fill="FCFCFC"/>
              </w:rPr>
              <w:t>控温范围/RT+30~1000(℃)</w:t>
            </w:r>
          </w:p>
        </w:tc>
        <w:tc>
          <w:tcPr>
            <w:tcW w:w="709"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rsidP="00356FD7">
            <w:pPr>
              <w:spacing w:before="0" w:after="0"/>
              <w:jc w:val="center"/>
              <w:rPr>
                <w:rFonts w:ascii="Times New Roman" w:eastAsia="宋体" w:hAnsi="Times New Roman" w:cs="Times New Roman"/>
                <w:color w:val="000000"/>
                <w:sz w:val="21"/>
              </w:rPr>
            </w:pPr>
            <w:r>
              <w:rPr>
                <w:rFonts w:ascii="宋体" w:eastAsia="宋体" w:hAnsi="宋体" w:cs="宋体"/>
                <w:color w:val="000000"/>
                <w:sz w:val="21"/>
              </w:rPr>
              <w:t>台</w:t>
            </w:r>
          </w:p>
        </w:tc>
        <w:tc>
          <w:tcPr>
            <w:tcW w:w="1134"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rsidP="00356FD7">
            <w:pPr>
              <w:spacing w:before="0" w:after="0"/>
              <w:jc w:val="center"/>
            </w:pPr>
            <w:r>
              <w:rPr>
                <w:rFonts w:ascii="Times New Roman" w:eastAsia="宋体" w:hAnsi="Times New Roman" w:cs="Times New Roman" w:hint="eastAsia"/>
                <w:color w:val="000000"/>
                <w:sz w:val="21"/>
              </w:rPr>
              <w:t>1</w:t>
            </w:r>
          </w:p>
        </w:tc>
        <w:tc>
          <w:tcPr>
            <w:tcW w:w="2126" w:type="dxa"/>
            <w:tcBorders>
              <w:top w:val="single" w:sz="6" w:space="0" w:color="CBCDD1"/>
              <w:left w:val="single" w:sz="6" w:space="0" w:color="000000"/>
              <w:bottom w:val="single" w:sz="6" w:space="0" w:color="000000"/>
              <w:right w:val="single" w:sz="6" w:space="0" w:color="000000"/>
            </w:tcBorders>
            <w:vAlign w:val="center"/>
          </w:tcPr>
          <w:p w:rsidR="00356FD7" w:rsidRDefault="00356FD7" w:rsidP="00C54868">
            <w:pPr>
              <w:spacing w:before="0" w:after="0"/>
              <w:jc w:val="center"/>
              <w:rPr>
                <w:rFonts w:ascii="Times New Roman" w:eastAsia="宋体" w:hAnsi="Times New Roman" w:cs="Times New Roman"/>
                <w:color w:val="000000"/>
                <w:sz w:val="21"/>
              </w:rPr>
            </w:pPr>
            <w:r>
              <w:rPr>
                <w:rFonts w:ascii="Times New Roman" w:eastAsia="宋体" w:hAnsi="Times New Roman" w:cs="Times New Roman" w:hint="eastAsia"/>
                <w:color w:val="000000"/>
                <w:sz w:val="21"/>
              </w:rPr>
              <w:t>4</w:t>
            </w:r>
            <w:r>
              <w:rPr>
                <w:rFonts w:ascii="Times New Roman" w:eastAsia="宋体" w:hAnsi="Times New Roman" w:cs="Times New Roman"/>
                <w:color w:val="000000"/>
                <w:sz w:val="21"/>
              </w:rPr>
              <w:t>000</w:t>
            </w:r>
          </w:p>
        </w:tc>
      </w:tr>
      <w:tr w:rsidR="00356FD7" w:rsidTr="00356FD7">
        <w:trPr>
          <w:trHeight w:val="719"/>
        </w:trPr>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rsidP="00980CFB">
            <w:pPr>
              <w:spacing w:before="0" w:after="0"/>
              <w:jc w:val="center"/>
              <w:rPr>
                <w:rFonts w:ascii="宋体" w:eastAsia="宋体" w:hAnsi="宋体" w:cs="宋体"/>
                <w:color w:val="000000"/>
                <w:sz w:val="21"/>
              </w:rPr>
            </w:pPr>
            <w:r>
              <w:rPr>
                <w:rFonts w:ascii="宋体" w:eastAsia="宋体" w:hAnsi="宋体" w:cs="宋体" w:hint="eastAsia"/>
                <w:color w:val="000000"/>
                <w:sz w:val="21"/>
              </w:rPr>
              <w:t>5</w:t>
            </w:r>
          </w:p>
        </w:tc>
        <w:tc>
          <w:tcPr>
            <w:tcW w:w="1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rsidP="00980CFB">
            <w:pPr>
              <w:spacing w:before="0" w:after="0"/>
              <w:jc w:val="center"/>
            </w:pPr>
            <w:r>
              <w:rPr>
                <w:rFonts w:ascii="宋体" w:eastAsia="宋体" w:hAnsi="宋体" w:cs="宋体" w:hint="eastAsia"/>
                <w:color w:val="000000"/>
                <w:sz w:val="21"/>
              </w:rPr>
              <w:t>石墨电热板消解仪</w:t>
            </w:r>
          </w:p>
        </w:tc>
        <w:tc>
          <w:tcPr>
            <w:tcW w:w="8363"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tcPr>
          <w:p w:rsidR="00356FD7" w:rsidRDefault="00356FD7">
            <w:pPr>
              <w:spacing w:before="0" w:after="0"/>
              <w:rPr>
                <w:rFonts w:ascii="宋体" w:eastAsia="宋体" w:hAnsi="宋体" w:cs="宋体"/>
                <w:color w:val="000000"/>
                <w:sz w:val="21"/>
              </w:rPr>
            </w:pPr>
            <w:r>
              <w:rPr>
                <w:rFonts w:ascii="宋体" w:eastAsia="宋体" w:hAnsi="宋体" w:cs="宋体" w:hint="eastAsia"/>
                <w:color w:val="000000"/>
                <w:sz w:val="21"/>
              </w:rPr>
              <w:t>主要特点：</w:t>
            </w:r>
          </w:p>
          <w:p w:rsidR="00356FD7" w:rsidRDefault="00356FD7">
            <w:pPr>
              <w:spacing w:before="0" w:after="0"/>
              <w:rPr>
                <w:rFonts w:ascii="宋体" w:eastAsia="宋体" w:hAnsi="宋体" w:cs="宋体"/>
                <w:color w:val="000000"/>
                <w:sz w:val="21"/>
              </w:rPr>
            </w:pPr>
            <w:r>
              <w:rPr>
                <w:rFonts w:ascii="宋体" w:eastAsia="宋体" w:hAnsi="宋体" w:cs="宋体" w:hint="eastAsia"/>
                <w:color w:val="000000"/>
                <w:sz w:val="21"/>
              </w:rPr>
              <w:t>1、采用等静压高纯石墨加热均匀，耐腐蚀；</w:t>
            </w:r>
          </w:p>
          <w:p w:rsidR="00356FD7" w:rsidRDefault="00356FD7">
            <w:pPr>
              <w:spacing w:before="0" w:after="0"/>
              <w:rPr>
                <w:rFonts w:ascii="宋体" w:eastAsia="宋体" w:hAnsi="宋体" w:cs="宋体"/>
                <w:color w:val="000000"/>
                <w:sz w:val="21"/>
              </w:rPr>
            </w:pPr>
            <w:r>
              <w:rPr>
                <w:rFonts w:ascii="宋体" w:eastAsia="宋体" w:hAnsi="宋体" w:cs="宋体" w:hint="eastAsia"/>
                <w:color w:val="000000"/>
                <w:sz w:val="21"/>
              </w:rPr>
              <w:t>2、 高效：采用先进的一体环绕加热方式，样品各部位受热均匀，最大程度上防止了热量的散失，消除了同一样品不同部位的温度差，消解快速、彻底；</w:t>
            </w:r>
          </w:p>
          <w:p w:rsidR="00356FD7" w:rsidRDefault="00356FD7">
            <w:pPr>
              <w:spacing w:before="0" w:after="0"/>
              <w:rPr>
                <w:rFonts w:ascii="宋体" w:eastAsia="宋体" w:hAnsi="宋体" w:cs="宋体"/>
                <w:color w:val="000000"/>
                <w:sz w:val="21"/>
              </w:rPr>
            </w:pPr>
            <w:r>
              <w:rPr>
                <w:rFonts w:ascii="宋体" w:eastAsia="宋体" w:hAnsi="宋体" w:cs="宋体" w:hint="eastAsia"/>
                <w:color w:val="000000"/>
                <w:sz w:val="21"/>
              </w:rPr>
              <w:t xml:space="preserve">3、 采用PID控温方式，控温精度高，可达±0.2℃，可调节加热速率，可控制加热保持时间，升温速率稳定，高低温报警，自动停止加热； </w:t>
            </w:r>
          </w:p>
          <w:p w:rsidR="00356FD7" w:rsidRDefault="00356FD7">
            <w:pPr>
              <w:spacing w:before="0" w:after="0"/>
              <w:rPr>
                <w:rFonts w:ascii="宋体" w:eastAsia="宋体" w:hAnsi="宋体" w:cs="宋体"/>
                <w:color w:val="000000"/>
                <w:sz w:val="21"/>
              </w:rPr>
            </w:pPr>
            <w:r>
              <w:rPr>
                <w:rFonts w:ascii="宋体" w:eastAsia="宋体" w:hAnsi="宋体" w:cs="宋体" w:hint="eastAsia"/>
                <w:color w:val="000000"/>
                <w:sz w:val="21"/>
              </w:rPr>
              <w:t>4、优越的导热性：合理的加热方式配套导热性能优越的加热体，能保证各个消解孔间的温度均匀性，样品间温差小于±1.5℃（常温～250℃），同时消解多个样品时，能保证各个样品的相同的反应温度和条件，进行批处理。</w:t>
            </w:r>
          </w:p>
          <w:p w:rsidR="00356FD7" w:rsidRDefault="00356FD7">
            <w:pPr>
              <w:spacing w:before="0" w:after="0"/>
              <w:rPr>
                <w:rFonts w:ascii="宋体" w:eastAsia="宋体" w:hAnsi="宋体" w:cs="宋体"/>
                <w:color w:val="000000"/>
                <w:sz w:val="21"/>
              </w:rPr>
            </w:pPr>
            <w:r>
              <w:rPr>
                <w:rFonts w:ascii="宋体" w:eastAsia="宋体" w:hAnsi="宋体" w:cs="宋体" w:hint="eastAsia"/>
                <w:color w:val="000000"/>
                <w:sz w:val="21"/>
              </w:rPr>
              <w:t>技术参数 :</w:t>
            </w:r>
          </w:p>
          <w:p w:rsidR="00356FD7" w:rsidRDefault="00356FD7">
            <w:pPr>
              <w:spacing w:before="0" w:after="0"/>
              <w:rPr>
                <w:rFonts w:ascii="宋体" w:eastAsia="宋体" w:hAnsi="宋体" w:cs="宋体"/>
                <w:color w:val="000000"/>
                <w:sz w:val="21"/>
              </w:rPr>
            </w:pPr>
            <w:r>
              <w:rPr>
                <w:rFonts w:ascii="宋体" w:eastAsia="宋体" w:hAnsi="宋体" w:cs="宋体" w:hint="eastAsia"/>
                <w:color w:val="000000"/>
                <w:sz w:val="21"/>
              </w:rPr>
              <w:t xml:space="preserve">1、电源：A.C 220V±10% 50Hz ，输入功率：4000W </w:t>
            </w:r>
          </w:p>
          <w:p w:rsidR="00356FD7" w:rsidRDefault="00356FD7">
            <w:pPr>
              <w:spacing w:before="0" w:after="0"/>
              <w:rPr>
                <w:rFonts w:ascii="宋体" w:eastAsia="宋体" w:hAnsi="宋体" w:cs="宋体"/>
                <w:color w:val="000000"/>
                <w:sz w:val="21"/>
              </w:rPr>
            </w:pPr>
            <w:r>
              <w:rPr>
                <w:rFonts w:ascii="宋体" w:eastAsia="宋体" w:hAnsi="宋体" w:cs="宋体" w:hint="eastAsia"/>
                <w:color w:val="000000"/>
                <w:sz w:val="21"/>
              </w:rPr>
              <w:t>2、温度设定范围：室温～450℃</w:t>
            </w:r>
          </w:p>
          <w:p w:rsidR="00356FD7" w:rsidRDefault="00356FD7">
            <w:pPr>
              <w:spacing w:before="0" w:after="0"/>
              <w:rPr>
                <w:rFonts w:ascii="宋体" w:eastAsia="宋体" w:hAnsi="宋体" w:cs="宋体"/>
                <w:color w:val="000000"/>
                <w:sz w:val="21"/>
              </w:rPr>
            </w:pPr>
            <w:r>
              <w:rPr>
                <w:rFonts w:ascii="宋体" w:eastAsia="宋体" w:hAnsi="宋体" w:cs="宋体" w:hint="eastAsia"/>
                <w:color w:val="000000"/>
                <w:sz w:val="21"/>
              </w:rPr>
              <w:t xml:space="preserve">3、控温精度：±0.2℃ </w:t>
            </w:r>
          </w:p>
          <w:p w:rsidR="00356FD7" w:rsidRDefault="00356FD7">
            <w:pPr>
              <w:spacing w:before="0" w:after="0"/>
              <w:rPr>
                <w:rFonts w:ascii="宋体" w:eastAsia="宋体" w:hAnsi="宋体" w:cs="宋体"/>
                <w:color w:val="000000"/>
                <w:sz w:val="21"/>
              </w:rPr>
            </w:pPr>
            <w:r>
              <w:rPr>
                <w:rFonts w:ascii="宋体" w:eastAsia="宋体" w:hAnsi="宋体" w:cs="宋体" w:hint="eastAsia"/>
                <w:color w:val="000000"/>
                <w:sz w:val="21"/>
              </w:rPr>
              <w:t>4、孔间温差：小于±1.5℃</w:t>
            </w:r>
          </w:p>
          <w:p w:rsidR="00356FD7" w:rsidRDefault="00356FD7">
            <w:pPr>
              <w:spacing w:before="0" w:after="0"/>
              <w:rPr>
                <w:rFonts w:ascii="宋体" w:eastAsia="宋体" w:hAnsi="宋体" w:cs="宋体"/>
                <w:color w:val="000000"/>
                <w:sz w:val="21"/>
              </w:rPr>
            </w:pPr>
            <w:r>
              <w:rPr>
                <w:rFonts w:ascii="宋体" w:eastAsia="宋体" w:hAnsi="宋体" w:cs="宋体" w:hint="eastAsia"/>
                <w:color w:val="000000"/>
                <w:sz w:val="21"/>
              </w:rPr>
              <w:lastRenderedPageBreak/>
              <w:t>5、加热孔及尺寸：60位*30mm(孔直径)*55mm(孔深)</w:t>
            </w:r>
          </w:p>
          <w:p w:rsidR="00356FD7" w:rsidRDefault="00356FD7">
            <w:pPr>
              <w:spacing w:before="0" w:after="0"/>
              <w:rPr>
                <w:rFonts w:ascii="宋体" w:eastAsia="宋体" w:hAnsi="宋体" w:cs="宋体"/>
                <w:color w:val="000000"/>
                <w:sz w:val="21"/>
              </w:rPr>
            </w:pPr>
            <w:r>
              <w:rPr>
                <w:rFonts w:ascii="宋体" w:eastAsia="宋体" w:hAnsi="宋体" w:cs="宋体" w:hint="eastAsia"/>
                <w:color w:val="000000"/>
                <w:sz w:val="21"/>
              </w:rPr>
              <w:t>6、控制系统：分体式控制，液晶数字显示屏</w:t>
            </w:r>
          </w:p>
          <w:p w:rsidR="00356FD7" w:rsidRDefault="00356FD7">
            <w:pPr>
              <w:spacing w:before="0" w:after="0"/>
              <w:rPr>
                <w:rFonts w:ascii="宋体" w:eastAsia="宋体" w:hAnsi="宋体" w:cs="宋体"/>
                <w:color w:val="000000"/>
                <w:sz w:val="21"/>
              </w:rPr>
            </w:pPr>
            <w:r>
              <w:rPr>
                <w:rFonts w:ascii="宋体" w:eastAsia="宋体" w:hAnsi="宋体" w:cs="宋体" w:hint="eastAsia"/>
                <w:color w:val="000000"/>
                <w:sz w:val="21"/>
              </w:rPr>
              <w:t>7、控温方式：PID控温系统</w:t>
            </w:r>
          </w:p>
          <w:p w:rsidR="00356FD7" w:rsidRDefault="00356FD7">
            <w:pPr>
              <w:spacing w:before="0" w:after="0"/>
              <w:rPr>
                <w:rFonts w:ascii="宋体" w:eastAsia="宋体" w:hAnsi="宋体" w:cs="宋体"/>
                <w:color w:val="000000"/>
                <w:sz w:val="21"/>
              </w:rPr>
            </w:pPr>
            <w:r>
              <w:rPr>
                <w:rFonts w:ascii="宋体" w:eastAsia="宋体" w:hAnsi="宋体" w:cs="宋体" w:hint="eastAsia"/>
                <w:color w:val="000000"/>
                <w:sz w:val="21"/>
              </w:rPr>
              <w:t>8、外形尺寸：长500mm×宽350mm×高180mm  重量：35kg</w:t>
            </w:r>
          </w:p>
          <w:p w:rsidR="00356FD7" w:rsidRDefault="00356FD7">
            <w:pPr>
              <w:spacing w:before="0" w:after="0"/>
              <w:rPr>
                <w:rFonts w:ascii="宋体" w:eastAsia="宋体" w:hAnsi="宋体" w:cs="宋体"/>
                <w:color w:val="000000"/>
                <w:sz w:val="21"/>
              </w:rPr>
            </w:pPr>
            <w:r>
              <w:rPr>
                <w:rFonts w:ascii="宋体" w:eastAsia="宋体" w:hAnsi="宋体" w:cs="宋体" w:hint="eastAsia"/>
                <w:color w:val="000000"/>
                <w:sz w:val="21"/>
              </w:rPr>
              <w:t>9、制造商具有生产石墨消解仪的ISO9001管理体系认证</w:t>
            </w:r>
          </w:p>
          <w:p w:rsidR="00356FD7" w:rsidRDefault="00356FD7">
            <w:pPr>
              <w:spacing w:before="0" w:after="0"/>
              <w:rPr>
                <w:rFonts w:ascii="宋体" w:eastAsia="宋体" w:hAnsi="宋体" w:cs="宋体"/>
                <w:color w:val="000000"/>
                <w:sz w:val="21"/>
              </w:rPr>
            </w:pPr>
            <w:r>
              <w:rPr>
                <w:rFonts w:ascii="宋体" w:eastAsia="宋体" w:hAnsi="宋体" w:cs="宋体" w:hint="eastAsia"/>
                <w:color w:val="000000"/>
                <w:sz w:val="21"/>
              </w:rPr>
              <w:t>10、制造商具有生产石墨消解仪的ISO14001环境体系认证</w:t>
            </w:r>
          </w:p>
          <w:p w:rsidR="00356FD7" w:rsidRDefault="00356FD7">
            <w:pPr>
              <w:spacing w:before="0" w:after="0"/>
            </w:pPr>
            <w:r>
              <w:rPr>
                <w:rFonts w:ascii="宋体" w:eastAsia="宋体" w:hAnsi="宋体" w:cs="宋体" w:hint="eastAsia"/>
                <w:color w:val="000000"/>
                <w:sz w:val="21"/>
              </w:rPr>
              <w:t xml:space="preserve">11、配套50ml聚四氟乙烯消解管48个 </w:t>
            </w:r>
          </w:p>
        </w:tc>
        <w:tc>
          <w:tcPr>
            <w:tcW w:w="709"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jc w:val="center"/>
              <w:rPr>
                <w:rFonts w:ascii="宋体" w:eastAsia="宋体" w:hAnsi="宋体" w:cs="宋体"/>
                <w:color w:val="000000"/>
                <w:sz w:val="20"/>
              </w:rPr>
            </w:pPr>
            <w:r>
              <w:rPr>
                <w:rFonts w:ascii="宋体" w:eastAsia="宋体" w:hAnsi="宋体" w:cs="宋体"/>
                <w:color w:val="000000"/>
                <w:sz w:val="21"/>
              </w:rPr>
              <w:lastRenderedPageBreak/>
              <w:t>台</w:t>
            </w:r>
          </w:p>
        </w:tc>
        <w:tc>
          <w:tcPr>
            <w:tcW w:w="1134"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jc w:val="center"/>
            </w:pPr>
            <w:r>
              <w:rPr>
                <w:rFonts w:ascii="宋体" w:eastAsia="宋体" w:hAnsi="宋体" w:cs="宋体"/>
                <w:color w:val="000000"/>
                <w:sz w:val="20"/>
              </w:rPr>
              <w:t>1</w:t>
            </w:r>
          </w:p>
        </w:tc>
        <w:tc>
          <w:tcPr>
            <w:tcW w:w="2126" w:type="dxa"/>
            <w:tcBorders>
              <w:top w:val="single" w:sz="6" w:space="0" w:color="CBCDD1"/>
              <w:left w:val="single" w:sz="6" w:space="0" w:color="000000"/>
              <w:bottom w:val="single" w:sz="6" w:space="0" w:color="000000"/>
              <w:right w:val="single" w:sz="6" w:space="0" w:color="000000"/>
            </w:tcBorders>
            <w:vAlign w:val="center"/>
          </w:tcPr>
          <w:p w:rsidR="00356FD7" w:rsidRDefault="00356FD7" w:rsidP="00980CFB">
            <w:pPr>
              <w:spacing w:before="0" w:after="0"/>
              <w:jc w:val="center"/>
              <w:rPr>
                <w:rFonts w:ascii="宋体" w:eastAsia="宋体" w:hAnsi="宋体" w:cs="宋体"/>
                <w:color w:val="000000"/>
                <w:sz w:val="20"/>
              </w:rPr>
            </w:pPr>
            <w:r>
              <w:rPr>
                <w:rFonts w:ascii="宋体" w:eastAsia="宋体" w:hAnsi="宋体" w:cs="宋体" w:hint="eastAsia"/>
                <w:color w:val="000000"/>
                <w:sz w:val="20"/>
              </w:rPr>
              <w:t>35000</w:t>
            </w:r>
          </w:p>
        </w:tc>
      </w:tr>
      <w:tr w:rsidR="00356FD7" w:rsidTr="00356FD7">
        <w:trPr>
          <w:trHeight w:val="2268"/>
        </w:trPr>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rsidP="00980CFB">
            <w:pPr>
              <w:spacing w:before="0" w:after="0"/>
              <w:jc w:val="center"/>
              <w:rPr>
                <w:rFonts w:ascii="宋体" w:eastAsia="宋体" w:hAnsi="宋体" w:cs="宋体"/>
                <w:color w:val="000000"/>
                <w:sz w:val="21"/>
              </w:rPr>
            </w:pPr>
            <w:r>
              <w:rPr>
                <w:rFonts w:ascii="宋体" w:eastAsia="宋体" w:hAnsi="宋体" w:cs="宋体" w:hint="eastAsia"/>
                <w:color w:val="000000"/>
                <w:sz w:val="21"/>
              </w:rPr>
              <w:lastRenderedPageBreak/>
              <w:t>6</w:t>
            </w:r>
          </w:p>
        </w:tc>
        <w:tc>
          <w:tcPr>
            <w:tcW w:w="1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rsidP="00980CFB">
            <w:pPr>
              <w:spacing w:before="0" w:after="0"/>
              <w:jc w:val="center"/>
            </w:pPr>
            <w:r>
              <w:rPr>
                <w:rFonts w:ascii="宋体" w:eastAsia="宋体" w:hAnsi="宋体" w:cs="宋体" w:hint="eastAsia"/>
                <w:color w:val="000000"/>
                <w:sz w:val="21"/>
              </w:rPr>
              <w:t>定氮仪（配套消化炉）</w:t>
            </w:r>
          </w:p>
        </w:tc>
        <w:tc>
          <w:tcPr>
            <w:tcW w:w="8363"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tcPr>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定氮仪：测定品种：粮食、饲料、食品、乳制品、饮料、土壤、水、沉淀物和化学品等</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工作方式：半自动</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进水方式：自来水和蒸馏水两种进水方式测定范围：0.1mgN-200mgN（毫克氮）</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回收率：≥99%（相对误差，包括消化过程）蒸馏速度：5-15分钟/样品（按样品量而定）冷却水消耗：3L/分钟</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重复率：相对标准偏差＜±1%</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电源：AC220V/50Hz</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功率：1000W</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消化炉：测定范围：0.1mgN-200mgN（毫克氮）</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工作电压：AC220V，50Hz</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8孔/批次</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控温方式：程序控温，可阶梯升温</w:t>
            </w:r>
          </w:p>
          <w:p w:rsidR="00356FD7" w:rsidRDefault="00356FD7">
            <w:pPr>
              <w:spacing w:before="0" w:after="0"/>
            </w:pPr>
            <w:r>
              <w:rPr>
                <w:rFonts w:ascii="宋体" w:eastAsia="宋体" w:hAnsi="宋体" w:cs="宋体" w:hint="eastAsia"/>
                <w:color w:val="000000"/>
                <w:sz w:val="21"/>
                <w:shd w:val="clear" w:color="auto" w:fill="FCFCFC"/>
              </w:rPr>
              <w:t>显示模式：数显毒气罩排气限温保护功能</w:t>
            </w:r>
          </w:p>
        </w:tc>
        <w:tc>
          <w:tcPr>
            <w:tcW w:w="709"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jc w:val="center"/>
              <w:rPr>
                <w:rFonts w:ascii="宋体" w:eastAsia="宋体" w:hAnsi="宋体" w:cs="宋体"/>
                <w:color w:val="000000"/>
                <w:sz w:val="20"/>
              </w:rPr>
            </w:pPr>
            <w:r>
              <w:rPr>
                <w:rFonts w:ascii="宋体" w:eastAsia="宋体" w:hAnsi="宋体" w:cs="宋体"/>
                <w:color w:val="000000"/>
                <w:sz w:val="21"/>
              </w:rPr>
              <w:t>台</w:t>
            </w:r>
          </w:p>
        </w:tc>
        <w:tc>
          <w:tcPr>
            <w:tcW w:w="1134"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jc w:val="center"/>
            </w:pPr>
            <w:r>
              <w:rPr>
                <w:rFonts w:ascii="宋体" w:eastAsia="宋体" w:hAnsi="宋体" w:cs="宋体" w:hint="eastAsia"/>
                <w:color w:val="000000"/>
                <w:sz w:val="20"/>
              </w:rPr>
              <w:t>3</w:t>
            </w:r>
          </w:p>
        </w:tc>
        <w:tc>
          <w:tcPr>
            <w:tcW w:w="2126" w:type="dxa"/>
            <w:tcBorders>
              <w:top w:val="single" w:sz="6" w:space="0" w:color="CBCDD1"/>
              <w:left w:val="single" w:sz="6" w:space="0" w:color="000000"/>
              <w:bottom w:val="single" w:sz="6" w:space="0" w:color="000000"/>
              <w:right w:val="single" w:sz="6" w:space="0" w:color="000000"/>
            </w:tcBorders>
            <w:vAlign w:val="center"/>
          </w:tcPr>
          <w:p w:rsidR="00356FD7" w:rsidRDefault="00356FD7" w:rsidP="00980CFB">
            <w:pPr>
              <w:spacing w:before="0" w:after="0"/>
              <w:jc w:val="center"/>
              <w:rPr>
                <w:rFonts w:ascii="宋体" w:eastAsia="宋体" w:hAnsi="宋体" w:cs="宋体"/>
                <w:color w:val="000000"/>
                <w:sz w:val="20"/>
              </w:rPr>
            </w:pPr>
            <w:r>
              <w:rPr>
                <w:rFonts w:ascii="宋体" w:eastAsia="宋体" w:hAnsi="宋体" w:cs="宋体" w:hint="eastAsia"/>
                <w:color w:val="000000"/>
                <w:sz w:val="20"/>
              </w:rPr>
              <w:t>7000</w:t>
            </w:r>
          </w:p>
        </w:tc>
      </w:tr>
      <w:tr w:rsidR="00356FD7" w:rsidTr="00356FD7">
        <w:trPr>
          <w:trHeight w:val="2268"/>
        </w:trPr>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rsidP="00C54868">
            <w:pPr>
              <w:spacing w:before="0" w:after="0"/>
              <w:jc w:val="center"/>
              <w:rPr>
                <w:rFonts w:ascii="宋体" w:eastAsia="宋体" w:hAnsi="宋体" w:cs="宋体"/>
                <w:color w:val="000000"/>
                <w:sz w:val="21"/>
              </w:rPr>
            </w:pPr>
            <w:r>
              <w:rPr>
                <w:rFonts w:ascii="宋体" w:eastAsia="宋体" w:hAnsi="宋体" w:cs="宋体" w:hint="eastAsia"/>
                <w:color w:val="000000"/>
                <w:sz w:val="21"/>
              </w:rPr>
              <w:lastRenderedPageBreak/>
              <w:t>7</w:t>
            </w:r>
          </w:p>
        </w:tc>
        <w:tc>
          <w:tcPr>
            <w:tcW w:w="1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rsidP="00C54868">
            <w:pPr>
              <w:spacing w:before="0" w:after="0"/>
              <w:jc w:val="center"/>
            </w:pPr>
            <w:r>
              <w:rPr>
                <w:rFonts w:ascii="宋体" w:eastAsia="宋体" w:hAnsi="宋体" w:cs="宋体" w:hint="eastAsia"/>
                <w:color w:val="000000"/>
                <w:sz w:val="21"/>
              </w:rPr>
              <w:t>脂肪测定仪</w:t>
            </w:r>
          </w:p>
        </w:tc>
        <w:tc>
          <w:tcPr>
            <w:tcW w:w="8363"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tcPr>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测定范围：含油量在0.5%—60%范围内的粮食、饲料、油料及各种脂肪制品。</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测定样品：6个/批</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控制功能：抽取时间可调，到时报警</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溶剂回收：自动</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电加热功率：水浴加热800W</w:t>
            </w:r>
          </w:p>
          <w:p w:rsidR="00356FD7" w:rsidRDefault="00356FD7">
            <w:pPr>
              <w:spacing w:before="0" w:after="0"/>
            </w:pPr>
            <w:r>
              <w:rPr>
                <w:rFonts w:ascii="宋体" w:eastAsia="宋体" w:hAnsi="宋体" w:cs="宋体" w:hint="eastAsia"/>
                <w:color w:val="000000"/>
                <w:sz w:val="21"/>
                <w:shd w:val="clear" w:color="auto" w:fill="FCFCFC"/>
              </w:rPr>
              <w:t>控温范围：室温—100℃</w:t>
            </w:r>
          </w:p>
        </w:tc>
        <w:tc>
          <w:tcPr>
            <w:tcW w:w="709"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jc w:val="center"/>
              <w:rPr>
                <w:rFonts w:ascii="Times New Roman" w:eastAsia="Times New Roman" w:hAnsi="Times New Roman" w:cs="Times New Roman"/>
                <w:color w:val="000000"/>
                <w:sz w:val="21"/>
              </w:rPr>
            </w:pPr>
            <w:r>
              <w:rPr>
                <w:rFonts w:ascii="宋体" w:eastAsia="宋体" w:hAnsi="宋体" w:cs="宋体"/>
                <w:color w:val="000000"/>
                <w:sz w:val="21"/>
              </w:rPr>
              <w:t>台</w:t>
            </w:r>
          </w:p>
        </w:tc>
        <w:tc>
          <w:tcPr>
            <w:tcW w:w="1134"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pPr>
              <w:spacing w:before="0" w:after="0"/>
              <w:jc w:val="center"/>
            </w:pPr>
            <w:r>
              <w:rPr>
                <w:rFonts w:ascii="Times New Roman" w:eastAsia="Times New Roman" w:hAnsi="Times New Roman" w:cs="Times New Roman"/>
                <w:color w:val="000000"/>
                <w:sz w:val="21"/>
              </w:rPr>
              <w:t>1</w:t>
            </w:r>
          </w:p>
        </w:tc>
        <w:tc>
          <w:tcPr>
            <w:tcW w:w="2126" w:type="dxa"/>
            <w:tcBorders>
              <w:top w:val="single" w:sz="6" w:space="0" w:color="CBCDD1"/>
              <w:left w:val="single" w:sz="6" w:space="0" w:color="000000"/>
              <w:bottom w:val="single" w:sz="6" w:space="0" w:color="000000"/>
              <w:right w:val="single" w:sz="6" w:space="0" w:color="000000"/>
            </w:tcBorders>
            <w:vAlign w:val="center"/>
          </w:tcPr>
          <w:p w:rsidR="00356FD7" w:rsidRPr="00C54868" w:rsidRDefault="00356FD7" w:rsidP="00C54868">
            <w:pPr>
              <w:spacing w:before="0" w:after="0"/>
              <w:jc w:val="center"/>
              <w:rPr>
                <w:rFonts w:ascii="Times New Roman" w:hAnsi="Times New Roman" w:cs="Times New Roman"/>
                <w:color w:val="000000"/>
                <w:sz w:val="21"/>
              </w:rPr>
            </w:pPr>
            <w:r>
              <w:rPr>
                <w:rFonts w:ascii="Times New Roman" w:hAnsi="Times New Roman" w:cs="Times New Roman" w:hint="eastAsia"/>
                <w:color w:val="000000"/>
                <w:sz w:val="21"/>
              </w:rPr>
              <w:t>3</w:t>
            </w:r>
            <w:r>
              <w:rPr>
                <w:rFonts w:ascii="Times New Roman" w:hAnsi="Times New Roman" w:cs="Times New Roman"/>
                <w:color w:val="000000"/>
                <w:sz w:val="21"/>
              </w:rPr>
              <w:t>000</w:t>
            </w:r>
          </w:p>
        </w:tc>
      </w:tr>
      <w:tr w:rsidR="00356FD7" w:rsidTr="00356FD7">
        <w:trPr>
          <w:trHeight w:val="2264"/>
        </w:trPr>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rsidP="00C54868">
            <w:pPr>
              <w:spacing w:before="0" w:after="0"/>
              <w:jc w:val="center"/>
              <w:rPr>
                <w:rFonts w:ascii="宋体" w:eastAsia="宋体" w:hAnsi="宋体" w:cs="宋体"/>
                <w:color w:val="000000"/>
                <w:sz w:val="21"/>
              </w:rPr>
            </w:pPr>
            <w:r>
              <w:rPr>
                <w:rFonts w:ascii="宋体" w:eastAsia="宋体" w:hAnsi="宋体" w:cs="宋体" w:hint="eastAsia"/>
                <w:color w:val="000000"/>
                <w:sz w:val="21"/>
              </w:rPr>
              <w:t>8</w:t>
            </w:r>
          </w:p>
        </w:tc>
        <w:tc>
          <w:tcPr>
            <w:tcW w:w="1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rsidP="00C54868">
            <w:pPr>
              <w:spacing w:before="0" w:after="0"/>
              <w:jc w:val="center"/>
            </w:pPr>
            <w:r>
              <w:rPr>
                <w:rFonts w:ascii="宋体" w:eastAsia="宋体" w:hAnsi="宋体" w:cs="宋体" w:hint="eastAsia"/>
                <w:color w:val="000000"/>
                <w:sz w:val="21"/>
              </w:rPr>
              <w:t>捣碎匀浆机</w:t>
            </w:r>
          </w:p>
        </w:tc>
        <w:tc>
          <w:tcPr>
            <w:tcW w:w="8363"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tcPr>
          <w:p w:rsidR="00356FD7" w:rsidRDefault="00356FD7">
            <w:pPr>
              <w:spacing w:before="0" w:after="0"/>
              <w:rPr>
                <w:rFonts w:ascii="宋体" w:eastAsia="宋体" w:hAnsi="宋体" w:cs="宋体"/>
                <w:color w:val="000000"/>
                <w:sz w:val="21"/>
                <w:shd w:val="clear" w:color="auto" w:fill="FCFCFC"/>
              </w:rPr>
            </w:pP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额定功率：220W</w:t>
            </w:r>
          </w:p>
          <w:p w:rsidR="00356FD7" w:rsidRDefault="00356FD7">
            <w:pPr>
              <w:spacing w:before="0" w:after="0"/>
              <w:rPr>
                <w:rFonts w:ascii="宋体" w:eastAsia="宋体" w:hAnsi="宋体" w:cs="宋体"/>
                <w:color w:val="000000"/>
                <w:sz w:val="21"/>
                <w:shd w:val="clear" w:color="auto" w:fill="FCFCFC"/>
              </w:rPr>
            </w:pPr>
            <w:r>
              <w:rPr>
                <w:rFonts w:ascii="宋体" w:eastAsia="宋体" w:hAnsi="宋体" w:cs="宋体" w:hint="eastAsia"/>
                <w:color w:val="000000"/>
                <w:sz w:val="21"/>
                <w:shd w:val="clear" w:color="auto" w:fill="FCFCFC"/>
              </w:rPr>
              <w:t>转率：0至12000转/分</w:t>
            </w:r>
          </w:p>
          <w:p w:rsidR="00356FD7" w:rsidRDefault="00356FD7">
            <w:pPr>
              <w:spacing w:before="0" w:after="0"/>
            </w:pPr>
            <w:r>
              <w:rPr>
                <w:rFonts w:ascii="宋体" w:eastAsia="宋体" w:hAnsi="宋体" w:cs="宋体" w:hint="eastAsia"/>
                <w:color w:val="000000"/>
                <w:sz w:val="21"/>
                <w:shd w:val="clear" w:color="auto" w:fill="FCFCFC"/>
              </w:rPr>
              <w:t>容量:2000ml,不锈钢杯</w:t>
            </w:r>
          </w:p>
        </w:tc>
        <w:tc>
          <w:tcPr>
            <w:tcW w:w="709"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rsidP="00C54868">
            <w:pPr>
              <w:spacing w:before="0" w:after="0"/>
              <w:jc w:val="center"/>
              <w:rPr>
                <w:rFonts w:ascii="Times New Roman" w:eastAsia="宋体" w:hAnsi="Times New Roman" w:cs="Times New Roman"/>
                <w:color w:val="000000"/>
                <w:sz w:val="21"/>
              </w:rPr>
            </w:pPr>
            <w:r>
              <w:rPr>
                <w:rFonts w:ascii="宋体" w:eastAsia="宋体" w:hAnsi="宋体" w:cs="宋体"/>
                <w:color w:val="000000"/>
                <w:sz w:val="21"/>
              </w:rPr>
              <w:t>台</w:t>
            </w:r>
          </w:p>
        </w:tc>
        <w:tc>
          <w:tcPr>
            <w:tcW w:w="1134" w:type="dxa"/>
            <w:tcBorders>
              <w:top w:val="single" w:sz="6" w:space="0" w:color="CBCDD1"/>
              <w:left w:val="single" w:sz="6" w:space="0" w:color="000000"/>
              <w:bottom w:val="single" w:sz="6" w:space="0" w:color="000000"/>
              <w:right w:val="single" w:sz="6" w:space="0" w:color="000000"/>
            </w:tcBorders>
            <w:tcMar>
              <w:top w:w="0" w:type="dxa"/>
              <w:left w:w="108" w:type="dxa"/>
              <w:bottom w:w="0" w:type="dxa"/>
              <w:right w:w="108" w:type="dxa"/>
            </w:tcMar>
            <w:vAlign w:val="center"/>
          </w:tcPr>
          <w:p w:rsidR="00356FD7" w:rsidRDefault="00356FD7" w:rsidP="00C54868">
            <w:pPr>
              <w:spacing w:before="0" w:after="0"/>
              <w:jc w:val="center"/>
            </w:pPr>
            <w:r>
              <w:rPr>
                <w:rFonts w:ascii="Times New Roman" w:eastAsia="宋体" w:hAnsi="Times New Roman" w:cs="Times New Roman" w:hint="eastAsia"/>
                <w:color w:val="000000"/>
                <w:sz w:val="21"/>
              </w:rPr>
              <w:t>2</w:t>
            </w:r>
          </w:p>
        </w:tc>
        <w:tc>
          <w:tcPr>
            <w:tcW w:w="2126" w:type="dxa"/>
            <w:tcBorders>
              <w:top w:val="single" w:sz="6" w:space="0" w:color="CBCDD1"/>
              <w:left w:val="single" w:sz="6" w:space="0" w:color="000000"/>
              <w:bottom w:val="single" w:sz="6" w:space="0" w:color="000000"/>
              <w:right w:val="single" w:sz="6" w:space="0" w:color="000000"/>
            </w:tcBorders>
            <w:vAlign w:val="center"/>
          </w:tcPr>
          <w:p w:rsidR="00356FD7" w:rsidRDefault="00356FD7" w:rsidP="00C54868">
            <w:pPr>
              <w:spacing w:before="0" w:after="0"/>
              <w:jc w:val="center"/>
              <w:rPr>
                <w:rFonts w:ascii="Times New Roman" w:eastAsia="宋体" w:hAnsi="Times New Roman" w:cs="Times New Roman"/>
                <w:color w:val="000000"/>
                <w:sz w:val="21"/>
              </w:rPr>
            </w:pPr>
            <w:r>
              <w:rPr>
                <w:rFonts w:ascii="Times New Roman" w:eastAsia="宋体" w:hAnsi="Times New Roman" w:cs="Times New Roman" w:hint="eastAsia"/>
                <w:color w:val="000000"/>
                <w:sz w:val="21"/>
              </w:rPr>
              <w:t>780</w:t>
            </w:r>
          </w:p>
        </w:tc>
      </w:tr>
    </w:tbl>
    <w:p w:rsidR="00781378" w:rsidRDefault="00781378">
      <w:pPr>
        <w:spacing w:before="0" w:after="0" w:line="360" w:lineRule="auto"/>
        <w:ind w:firstLineChars="100" w:firstLine="211"/>
        <w:jc w:val="both"/>
        <w:rPr>
          <w:rFonts w:ascii="宋体" w:eastAsia="宋体" w:hAnsi="宋体" w:cs="宋体"/>
          <w:b/>
          <w:color w:val="000000"/>
          <w:sz w:val="21"/>
        </w:rPr>
      </w:pPr>
    </w:p>
    <w:p w:rsidR="00781378" w:rsidRDefault="00781378">
      <w:pPr>
        <w:spacing w:before="0" w:after="0" w:line="360" w:lineRule="auto"/>
        <w:ind w:firstLineChars="100" w:firstLine="211"/>
        <w:jc w:val="both"/>
        <w:rPr>
          <w:rFonts w:ascii="宋体" w:eastAsia="宋体" w:hAnsi="宋体" w:cs="宋体"/>
          <w:b/>
          <w:color w:val="000000"/>
          <w:sz w:val="21"/>
        </w:rPr>
      </w:pPr>
    </w:p>
    <w:p w:rsidR="00781378" w:rsidRDefault="00781378">
      <w:pPr>
        <w:spacing w:before="0" w:after="0" w:line="360" w:lineRule="auto"/>
        <w:ind w:firstLineChars="100" w:firstLine="211"/>
        <w:jc w:val="both"/>
        <w:rPr>
          <w:rFonts w:ascii="宋体" w:eastAsia="宋体" w:hAnsi="宋体" w:cs="宋体"/>
          <w:b/>
          <w:color w:val="000000"/>
          <w:sz w:val="21"/>
        </w:rPr>
      </w:pPr>
    </w:p>
    <w:p w:rsidR="00781378" w:rsidRDefault="00781378">
      <w:pPr>
        <w:spacing w:before="0" w:after="0" w:line="360" w:lineRule="auto"/>
        <w:ind w:firstLineChars="100" w:firstLine="211"/>
        <w:jc w:val="both"/>
        <w:rPr>
          <w:rFonts w:ascii="宋体" w:eastAsia="宋体" w:hAnsi="宋体" w:cs="宋体"/>
          <w:b/>
          <w:color w:val="000000"/>
          <w:sz w:val="21"/>
        </w:rPr>
      </w:pPr>
    </w:p>
    <w:p w:rsidR="00781378" w:rsidRDefault="00781378">
      <w:pPr>
        <w:spacing w:before="0" w:after="0" w:line="360" w:lineRule="auto"/>
        <w:ind w:firstLineChars="100" w:firstLine="211"/>
        <w:jc w:val="both"/>
        <w:rPr>
          <w:rFonts w:ascii="宋体" w:eastAsia="宋体" w:hAnsi="宋体" w:cs="宋体"/>
          <w:b/>
          <w:color w:val="000000"/>
          <w:sz w:val="21"/>
        </w:rPr>
      </w:pPr>
    </w:p>
    <w:p w:rsidR="00781378" w:rsidRDefault="00781378">
      <w:pPr>
        <w:spacing w:before="0" w:after="0" w:line="360" w:lineRule="auto"/>
        <w:ind w:firstLineChars="250" w:firstLine="550"/>
      </w:pPr>
    </w:p>
    <w:p w:rsidR="00781378" w:rsidRDefault="00781378">
      <w:pPr>
        <w:spacing w:before="0" w:after="0" w:line="360" w:lineRule="auto"/>
        <w:ind w:firstLineChars="250" w:firstLine="550"/>
      </w:pPr>
    </w:p>
    <w:p w:rsidR="00781378" w:rsidRDefault="00781378"/>
    <w:sectPr w:rsidR="00781378">
      <w:pgSz w:w="16838" w:h="11905" w:orient="landscape"/>
      <w:pgMar w:top="1417" w:right="1361" w:bottom="1417" w:left="136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378" w:rsidRDefault="00C54868">
      <w:pPr>
        <w:spacing w:line="240" w:lineRule="auto"/>
      </w:pPr>
      <w:r>
        <w:separator/>
      </w:r>
    </w:p>
  </w:endnote>
  <w:endnote w:type="continuationSeparator" w:id="0">
    <w:p w:rsidR="00781378" w:rsidRDefault="00C548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altName w:val="Segoe Print"/>
    <w:charset w:val="00"/>
    <w:family w:val="auto"/>
    <w:pitch w:val="default"/>
  </w:font>
  <w:font w:name="等线 Light">
    <w:altName w:val="宋体"/>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378" w:rsidRDefault="00C54868">
      <w:pPr>
        <w:spacing w:before="0" w:after="0"/>
      </w:pPr>
      <w:r>
        <w:separator/>
      </w:r>
    </w:p>
  </w:footnote>
  <w:footnote w:type="continuationSeparator" w:id="0">
    <w:p w:rsidR="00781378" w:rsidRDefault="00C54868">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378"/>
    <w:rsid w:val="00356FD7"/>
    <w:rsid w:val="00781378"/>
    <w:rsid w:val="00980CFB"/>
    <w:rsid w:val="00C54868"/>
    <w:rsid w:val="1C8431EB"/>
    <w:rsid w:val="314511A2"/>
    <w:rsid w:val="3A8D3F96"/>
    <w:rsid w:val="44A413CA"/>
    <w:rsid w:val="4A4F4BE2"/>
    <w:rsid w:val="4F092594"/>
    <w:rsid w:val="5EA95897"/>
    <w:rsid w:val="5F4D1365"/>
    <w:rsid w:val="720622FA"/>
    <w:rsid w:val="7D257B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9968B4D-BF3F-4896-B989-5CF631675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napToGrid w:val="0"/>
      <w:spacing w:before="60" w:after="60" w:line="312" w:lineRule="auto"/>
    </w:pPr>
    <w:rPr>
      <w:color w:val="333333"/>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9"/>
    <w:qFormat/>
    <w:pPr>
      <w:keepNext/>
      <w:keepLines/>
      <w:spacing w:before="0" w:after="0" w:line="408" w:lineRule="auto"/>
      <w:jc w:val="center"/>
      <w:outlineLvl w:val="0"/>
    </w:pPr>
    <w:rPr>
      <w:b/>
      <w:bCs/>
      <w:color w:val="1A1A1A"/>
      <w:sz w:val="48"/>
      <w:szCs w:val="48"/>
    </w:rPr>
  </w:style>
  <w:style w:type="table" w:styleId="a4">
    <w:name w:val="Table Grid"/>
    <w:basedOn w:val="a1"/>
    <w:uiPriority w:val="39"/>
    <w:qFormat/>
    <w:tblPr>
      <w:tblInd w:w="0" w:type="dxa"/>
      <w:tblBorders>
        <w:top w:val="single" w:sz="6" w:space="0" w:color="CBCDD1"/>
        <w:left w:val="single" w:sz="6" w:space="0" w:color="CBCDD1"/>
        <w:bottom w:val="single" w:sz="6" w:space="0" w:color="CBCDD1"/>
        <w:right w:val="single" w:sz="6" w:space="0" w:color="CBCDD1"/>
        <w:insideH w:val="single" w:sz="6" w:space="0" w:color="CBCDD1"/>
        <w:insideV w:val="single" w:sz="6" w:space="0" w:color="CBCDD1"/>
      </w:tblBorders>
      <w:tblCellMar>
        <w:top w:w="0" w:type="dxa"/>
        <w:left w:w="108" w:type="dxa"/>
        <w:bottom w:w="0" w:type="dxa"/>
        <w:right w:w="108" w:type="dxa"/>
      </w:tblCellMar>
    </w:tblPr>
  </w:style>
  <w:style w:type="paragraph" w:styleId="a5">
    <w:name w:val="Balloon Text"/>
    <w:basedOn w:val="a"/>
    <w:link w:val="Char"/>
    <w:uiPriority w:val="99"/>
    <w:semiHidden/>
    <w:unhideWhenUsed/>
    <w:rsid w:val="00C54868"/>
    <w:pPr>
      <w:spacing w:before="0" w:after="0" w:line="240" w:lineRule="auto"/>
    </w:pPr>
    <w:rPr>
      <w:sz w:val="18"/>
      <w:szCs w:val="18"/>
    </w:rPr>
  </w:style>
  <w:style w:type="character" w:customStyle="1" w:styleId="Char">
    <w:name w:val="批注框文本 Char"/>
    <w:basedOn w:val="a0"/>
    <w:link w:val="a5"/>
    <w:uiPriority w:val="99"/>
    <w:semiHidden/>
    <w:rsid w:val="00C54868"/>
    <w:rPr>
      <w:color w:val="333333"/>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2002</Words>
  <Characters>569</Characters>
  <Application>Microsoft Office Word</Application>
  <DocSecurity>0</DocSecurity>
  <Lines>4</Lines>
  <Paragraphs>5</Paragraphs>
  <ScaleCrop>false</ScaleCrop>
  <Company>Microsoft</Company>
  <LinksUpToDate>false</LinksUpToDate>
  <CharactersWithSpaces>2566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86136</dc:creator>
  <cp:lastModifiedBy>SZY</cp:lastModifiedBy>
  <cp:revision>4</cp:revision>
  <cp:lastPrinted>2022-04-27T02:35:00Z</cp:lastPrinted>
  <dcterms:created xsi:type="dcterms:W3CDTF">2022-03-13T11:18:00Z</dcterms:created>
  <dcterms:modified xsi:type="dcterms:W3CDTF">2022-04-27T03:05:00Z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74D4AD3DD21C46569197D79063E05FD2</vt:lpwstr>
  </property>
  <property fmtid="{D5CDD505-2E9C-101B-9397-08002B2CF9AE}" pid="4" name="commondata">
    <vt:lpwstr>eyJoZGlkIjoiMTgyY2Y5Y2UxZjkwY2NiYzg1MTM4ZmQzOTFhYWJhY2IifQ==</vt:lpwstr>
  </property>
</Properties>
</file>